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1"/>
        </w:rPr>
        <w:t xml:space="preserve">المعركة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الكذبة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يسوع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يوحنا</w:t>
      </w:r>
      <w:r w:rsidDel="00000000" w:rsidR="00000000" w:rsidRPr="00000000">
        <w:rPr>
          <w:rtl w:val="1"/>
        </w:rPr>
        <w:t xml:space="preserve"> 14: 6).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بالثقة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الكذاب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يوحنا</w:t>
      </w:r>
      <w:r w:rsidDel="00000000" w:rsidR="00000000" w:rsidRPr="00000000">
        <w:rPr>
          <w:rtl w:val="1"/>
        </w:rPr>
        <w:t xml:space="preserve"> 8: 44).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مغشوش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وأكاذيبهم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مكتوب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0"/>
        </w:rPr>
        <w:t xml:space="preserve"> 4: 4؛ 21: 13).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بإخفائه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بتحريفه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1"/>
        </w:rPr>
        <w:t xml:space="preserve">تسوية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الكنيسة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1"/>
        </w:rPr>
        <w:t xml:space="preserve">أعرب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الرسل</w:t>
      </w:r>
      <w:r w:rsidDel="00000000" w:rsidR="00000000" w:rsidRPr="00000000">
        <w:rPr>
          <w:rtl w:val="0"/>
        </w:rPr>
        <w:t xml:space="preserve"> 20: 29-30).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1"/>
        </w:rPr>
        <w:t xml:space="preserve">الذئاب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المفترسة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64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311 (</w:t>
      </w:r>
      <w:r w:rsidDel="00000000" w:rsidR="00000000" w:rsidRPr="00000000">
        <w:rPr>
          <w:rtl w:val="1"/>
        </w:rPr>
        <w:t xml:space="preserve">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سيرديكا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عانت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الإمبراطورية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الرومانية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المنحرفين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إدخال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خلطوا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وثنيتهم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1"/>
        </w:rPr>
        <w:t xml:space="preserve">استخدم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إستراتيجيته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لإفساد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وإدخال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الأوثان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الكنيسة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1"/>
        </w:rPr>
        <w:t xml:space="preserve">وكما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تنبأ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بولس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وستبقى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(2 </w:t>
      </w:r>
      <w:r w:rsidDel="00000000" w:rsidR="00000000" w:rsidRPr="00000000">
        <w:rPr>
          <w:rtl w:val="1"/>
        </w:rPr>
        <w:t xml:space="preserve">تسالونيكي</w:t>
      </w:r>
      <w:r w:rsidDel="00000000" w:rsidR="00000000" w:rsidRPr="00000000">
        <w:rPr>
          <w:rtl w:val="1"/>
        </w:rPr>
        <w:t xml:space="preserve"> 2: 7-12). </w:t>
      </w:r>
      <w:r w:rsidDel="00000000" w:rsidR="00000000" w:rsidRPr="00000000">
        <w:rPr>
          <w:rtl w:val="1"/>
        </w:rPr>
        <w:t xml:space="preserve">المعركة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سترتكز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1"/>
        </w:rPr>
        <w:t xml:space="preserve">المعركة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أسفاره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وإصحاحاته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وآياته</w:t>
      </w:r>
      <w:r w:rsidDel="00000000" w:rsidR="00000000" w:rsidRPr="00000000">
        <w:rPr>
          <w:rtl w:val="1"/>
        </w:rPr>
        <w:t xml:space="preserve"> (2 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0"/>
        </w:rPr>
        <w:t xml:space="preserve"> 3: 16).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ميلاد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وشفاعته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مغفرة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الذنوب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قادم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تكوين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2)،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عل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نمتلكه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نثق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1"/>
        </w:rPr>
        <w:t xml:space="preserve">المنطق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يفهمه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»                           (1 </w:t>
      </w:r>
      <w:r w:rsidDel="00000000" w:rsidR="00000000" w:rsidRPr="00000000">
        <w:rPr>
          <w:rtl w:val="1"/>
        </w:rPr>
        <w:t xml:space="preserve">كو</w:t>
      </w:r>
      <w:r w:rsidDel="00000000" w:rsidR="00000000" w:rsidRPr="00000000">
        <w:rPr>
          <w:rtl w:val="1"/>
        </w:rPr>
        <w:t xml:space="preserve"> 2: 14؛ 2 </w:t>
      </w:r>
      <w:r w:rsidDel="00000000" w:rsidR="00000000" w:rsidRPr="00000000">
        <w:rPr>
          <w:rtl w:val="1"/>
        </w:rPr>
        <w:t xml:space="preserve">بط</w:t>
      </w:r>
      <w:r w:rsidDel="00000000" w:rsidR="00000000" w:rsidRPr="00000000">
        <w:rPr>
          <w:rtl w:val="0"/>
        </w:rPr>
        <w:t xml:space="preserve"> 1: 20).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المعجزات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التنبؤ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بالمستقبل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ينتظرنا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0"/>
        </w:rPr>
        <w:t xml:space="preserve"> 16: 25).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1"/>
        </w:rPr>
        <w:t xml:space="preserve">معركة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أذهانهم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خلاصهم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يسوع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يوحنا</w:t>
      </w:r>
      <w:r w:rsidDel="00000000" w:rsidR="00000000" w:rsidRPr="00000000">
        <w:rPr>
          <w:rtl w:val="0"/>
        </w:rPr>
        <w:t xml:space="preserve"> 1: 5).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يقبلون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يبطلوا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ويجعلوا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الظلام</w:t>
      </w: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