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00358AB8" w:rsidR="00073516" w:rsidRPr="00092204" w:rsidRDefault="00092204" w:rsidP="0009220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092204">
        <w:rPr>
          <w:rFonts w:ascii="Nirmala UI" w:hAnsi="Nirmala UI" w:cs="Nirmala UI"/>
          <w:b/>
          <w:bCs/>
          <w:sz w:val="20"/>
          <w:szCs w:val="20"/>
        </w:rPr>
        <w:t>पत्रों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लेखक</w:t>
      </w:r>
      <w:proofErr w:type="spellEnd"/>
      <w:r w:rsidR="00073516" w:rsidRPr="00092204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71560CF9" w14:textId="598B73DB" w:rsidR="00073516" w:rsidRPr="00092204" w:rsidRDefault="00092204" w:rsidP="0009220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कैद</w:t>
      </w:r>
      <w:proofErr w:type="spellEnd"/>
      <w:r>
        <w:rPr>
          <w:rFonts w:ascii="Nirmala UI" w:hAnsi="Nirmala UI" w:cs="Nirmala UI"/>
          <w:b/>
          <w:bCs/>
          <w:sz w:val="20"/>
          <w:szCs w:val="20"/>
        </w:rPr>
        <w:t>।</w:t>
      </w:r>
    </w:p>
    <w:p w14:paraId="4BDADA6D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रोम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पहली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- 60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62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ईस्वी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-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पाँच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पत्र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लिखे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इफिसियों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लौदीकिया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पहुँचा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>)।</w:t>
      </w:r>
    </w:p>
    <w:p w14:paraId="10734322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चूंकि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खिलाफ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गंभीर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आरोप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किराए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घर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रहने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अनुमति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रोमी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सैनिक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हमेशा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पहरा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जाता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28:16)।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इससे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जारी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रखने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अनुमति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मिली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प्रेटोरियन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रक्षक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1:13)।</w:t>
      </w:r>
    </w:p>
    <w:p w14:paraId="13602057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पत्रों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जाँच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देख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सहयोगी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4:7-14;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23-24)।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कैसर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घराने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संपर्क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4:22)।</w:t>
      </w:r>
    </w:p>
    <w:p w14:paraId="492A19F9" w14:textId="59A2DC55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जल्द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रिहा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उम्मीद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22),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ऐसी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उम्मीद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दूसरी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दौरान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(2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तीमुथियुस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4:6)।</w:t>
      </w:r>
    </w:p>
    <w:p w14:paraId="0D3C90F0" w14:textId="2FC34ECD" w:rsidR="00073516" w:rsidRPr="00092204" w:rsidRDefault="00092204" w:rsidP="0009220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राजदूत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जंजीरों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>
        <w:rPr>
          <w:rFonts w:ascii="Nirmala UI" w:hAnsi="Nirmala UI" w:cs="Nirmala UI"/>
          <w:b/>
          <w:bCs/>
          <w:sz w:val="20"/>
          <w:szCs w:val="20"/>
        </w:rPr>
        <w:t>।</w:t>
      </w:r>
    </w:p>
    <w:p w14:paraId="2196D670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जिस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क्षण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राजदूत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बनने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फैसला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आसान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(2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6:4-5)।</w:t>
      </w:r>
    </w:p>
    <w:p w14:paraId="3C355C91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रोम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जाने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तीन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दर्ज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16:22-24);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यरूशलेम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23:10);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कैसरिया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23:33-35)।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निश्चित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रही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होंगी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(2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11:23)।</w:t>
      </w:r>
    </w:p>
    <w:p w14:paraId="65F2AB36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इन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कठिनाइयों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कभी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स्वयं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असहाय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समझा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(2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4:7-9)।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स्वतंत्र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असमर्थ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जंजीरों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जकड़ा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राजदूत</w:t>
      </w:r>
      <w:proofErr w:type="spellEnd"/>
      <w:r w:rsidRPr="00092204">
        <w:rPr>
          <w:rFonts w:ascii="Nirmala UI" w:hAnsi="Nirmala UI" w:cs="Nirmala UI" w:hint="eastAsia"/>
          <w:sz w:val="20"/>
          <w:szCs w:val="20"/>
        </w:rPr>
        <w:t>”</w:t>
      </w:r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इफिसियों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6:20)।</w:t>
      </w:r>
    </w:p>
    <w:p w14:paraId="6DCD387A" w14:textId="53546C47" w:rsidR="00C9702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दृष्टिकोण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सिखाता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जब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कठिनाइयों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सामना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पूरा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भरोसा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रखना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हमेशा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वचन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याद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रखना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(2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तीमुथियुस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2:15);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जुड़े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रहना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दिलासा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वाला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शक्ति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साहस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जकर्याह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4:6)।</w:t>
      </w:r>
    </w:p>
    <w:p w14:paraId="679110FD" w14:textId="13BD037B" w:rsidR="00073516" w:rsidRPr="00092204" w:rsidRDefault="00092204" w:rsidP="0009220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प्राप्तकर्ता</w:t>
      </w:r>
      <w:proofErr w:type="spellEnd"/>
      <w:r w:rsidR="00073516" w:rsidRPr="00092204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4345B6E4" w14:textId="06BBA497" w:rsidR="00073516" w:rsidRPr="00092204" w:rsidRDefault="00092204" w:rsidP="0009220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इतिहास</w:t>
      </w:r>
      <w:proofErr w:type="spellEnd"/>
      <w:r>
        <w:rPr>
          <w:rFonts w:ascii="Nirmala UI" w:hAnsi="Nirmala UI" w:cs="Nirmala UI"/>
          <w:b/>
          <w:bCs/>
          <w:sz w:val="20"/>
          <w:szCs w:val="20"/>
        </w:rPr>
        <w:t>।</w:t>
      </w:r>
    </w:p>
    <w:p w14:paraId="16DB30B5" w14:textId="379F17F8" w:rsidR="00C02278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sz w:val="20"/>
          <w:szCs w:val="20"/>
        </w:rPr>
        <w:t>अपनी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दूसरी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प्रचार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यात्रा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समय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योजनाओं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मोड़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आया</w:t>
      </w:r>
      <w:proofErr w:type="spellEnd"/>
      <w:r w:rsidRPr="00092204">
        <w:rPr>
          <w:rFonts w:ascii="Nirmala UI" w:hAnsi="Nirmala UI" w:cs="Nirmala UI" w:hint="cs"/>
          <w:sz w:val="20"/>
          <w:szCs w:val="20"/>
        </w:rPr>
        <w:t>।</w:t>
      </w:r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पवित्र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आत्मा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उसके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कदमों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मार्गदर्शन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रहा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 w:hint="cs"/>
          <w:sz w:val="20"/>
          <w:szCs w:val="20"/>
        </w:rPr>
        <w:t>।</w:t>
      </w:r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काम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16:6-12)।</w:t>
      </w:r>
    </w:p>
    <w:p w14:paraId="7F268446" w14:textId="1C605B66" w:rsidR="00C02278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पवित्र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आत्मा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यूरोप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सुसमाचार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प्रचार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शुरू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फिलिप्पी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चुना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 w:hint="cs"/>
          <w:sz w:val="20"/>
          <w:szCs w:val="20"/>
        </w:rPr>
        <w:t>।</w:t>
      </w:r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पूर्ण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विकसित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रोमी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शहर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होने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नाते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करों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भुगतान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छूट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प्राप्त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उन्हें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जन्म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रोमन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नागरिकता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प्राप्त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 w:hint="cs"/>
          <w:sz w:val="20"/>
          <w:szCs w:val="20"/>
        </w:rPr>
        <w:t>।</w:t>
      </w:r>
    </w:p>
    <w:p w14:paraId="5901E21A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शहर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पहुँच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आराधनालय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जाता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आराधनालय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!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सब्त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उपासना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स्थल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ढूँढा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एकत्रित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महिलाओं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उपदेश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16:13)।</w:t>
      </w:r>
    </w:p>
    <w:p w14:paraId="5106B540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इस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सभा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पहली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यूरोपीय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परिवर्तित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महिला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लुदिया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निकली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पूरे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परिवार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सहित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बपतिस्मा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16:14-15)।</w:t>
      </w:r>
    </w:p>
    <w:p w14:paraId="660D3511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दुश्मन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निष्क्रिय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बैठा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रहा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ज्योतिषी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समर्थन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नाटक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दिमाग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भ्रमित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उकसाया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16:16-17)।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जब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लड़की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रिहा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तब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सीलास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मुसीबतें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शुरू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हुईं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16:18-24)।</w:t>
      </w:r>
    </w:p>
    <w:p w14:paraId="197A511A" w14:textId="10EAD2B2" w:rsidR="00C02278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परिणाम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दारोगा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परिवार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धर्म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परिवर्तन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16:25-33)।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इसमें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संदेह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शक्ति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मार्गदर्शन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यूरोप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पहुँचा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>।</w:t>
      </w:r>
    </w:p>
    <w:p w14:paraId="648621C4" w14:textId="6C225C1B" w:rsidR="00073516" w:rsidRPr="00092204" w:rsidRDefault="00092204" w:rsidP="0009220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इतिहास</w:t>
      </w:r>
      <w:proofErr w:type="spellEnd"/>
      <w:r>
        <w:rPr>
          <w:rFonts w:ascii="Nirmala UI" w:hAnsi="Nirmala UI" w:cs="Nirmala UI"/>
          <w:b/>
          <w:bCs/>
          <w:sz w:val="20"/>
          <w:szCs w:val="20"/>
        </w:rPr>
        <w:t>।</w:t>
      </w:r>
    </w:p>
    <w:p w14:paraId="720BFDF4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रोम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एपफ्रास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साथी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23)।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मूल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निवासी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4:12),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वही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जिसने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शहर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1:7)।</w:t>
      </w:r>
    </w:p>
    <w:p w14:paraId="7D5FC0A1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फ्रूगिया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प्राँत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लौदीकिया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हियरापुलिस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स्थित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शहर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एपफ्रास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उपदेश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4:13)।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आबादी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काफी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रहने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वाले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सबसे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प्रमुख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सहकर्मी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जिसके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घर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बैठक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थी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1-2)।</w:t>
      </w:r>
    </w:p>
    <w:p w14:paraId="57BB87D7" w14:textId="6B1765C2" w:rsidR="001058D7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दासों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उनेसिमुस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रोम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भाग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माध्यम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10-11)।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उनेसिमुस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स्वामी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लौटाकर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दिखाया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स्वामियों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दासों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वरिष्ठों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अधीनस्थों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संबंध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कैसा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फिलेमोन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12-17)।</w:t>
      </w:r>
    </w:p>
    <w:p w14:paraId="21DBB596" w14:textId="659DA726" w:rsidR="00395C43" w:rsidRPr="00092204" w:rsidRDefault="00092204" w:rsidP="0009220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b/>
          <w:bCs/>
          <w:sz w:val="20"/>
          <w:szCs w:val="20"/>
        </w:rPr>
        <w:t>कलीसियाएँ</w:t>
      </w:r>
      <w:proofErr w:type="spellEnd"/>
      <w:r>
        <w:rPr>
          <w:rFonts w:ascii="Nirmala UI" w:hAnsi="Nirmala UI" w:cs="Nirmala UI"/>
          <w:b/>
          <w:bCs/>
          <w:sz w:val="20"/>
          <w:szCs w:val="20"/>
        </w:rPr>
        <w:t>।</w:t>
      </w:r>
    </w:p>
    <w:p w14:paraId="0A6DD580" w14:textId="5793D976" w:rsidR="007A6750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 w:hint="cs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लिखे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पत्रों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प्रस्तावनाएँ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जो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बहुत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समान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दो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महत्वपूर्ण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पहलुओं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दर्शाती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1:1; </w:t>
      </w:r>
      <w:proofErr w:type="spellStart"/>
      <w:r w:rsidRPr="00092204">
        <w:rPr>
          <w:rFonts w:ascii="Nirmala UI" w:hAnsi="Nirmala UI" w:cs="Nirmala UI" w:hint="cs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1:1-2)</w:t>
      </w:r>
      <w:r w:rsidR="007A6750" w:rsidRPr="00092204">
        <w:rPr>
          <w:rFonts w:ascii="Nirmala UI" w:hAnsi="Nirmala UI" w:cs="Nirmala UI"/>
          <w:sz w:val="20"/>
          <w:szCs w:val="20"/>
        </w:rPr>
        <w:t>:</w:t>
      </w:r>
    </w:p>
    <w:p w14:paraId="17A5EF00" w14:textId="77777777" w:rsidR="00092204" w:rsidRPr="00092204" w:rsidRDefault="00092204" w:rsidP="00092204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दृष्टि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सदस्य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गलतियों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वफादार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>।</w:t>
      </w:r>
    </w:p>
    <w:p w14:paraId="624B66C2" w14:textId="1DDF3820" w:rsidR="007A6750" w:rsidRPr="00092204" w:rsidRDefault="00092204" w:rsidP="00092204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व्यवस्था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जहाँ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सदस्यों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दूसरों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तुलना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अधिकार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जिम्मेदारी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>:</w:t>
      </w:r>
    </w:p>
    <w:p w14:paraId="4E85AAB5" w14:textId="77777777" w:rsidR="00092204" w:rsidRPr="00092204" w:rsidRDefault="00092204" w:rsidP="00092204">
      <w:pPr>
        <w:pStyle w:val="Prrafodelista"/>
        <w:numPr>
          <w:ilvl w:val="4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प्रेरित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उच्च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स्तरीय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अगुआ</w:t>
      </w:r>
      <w:proofErr w:type="spellEnd"/>
      <w:r w:rsidRPr="00092204">
        <w:rPr>
          <w:rFonts w:ascii="Nirmala UI" w:hAnsi="Nirmala UI" w:cs="Nirmala UI"/>
          <w:sz w:val="20"/>
          <w:szCs w:val="20"/>
        </w:rPr>
        <w:t>।</w:t>
      </w:r>
    </w:p>
    <w:p w14:paraId="12C02BA5" w14:textId="77777777" w:rsidR="00092204" w:rsidRPr="00092204" w:rsidRDefault="00092204" w:rsidP="00092204">
      <w:pPr>
        <w:pStyle w:val="Prrafodelista"/>
        <w:numPr>
          <w:ilvl w:val="4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तीमुथियुस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सहयोगी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पादरी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>)।</w:t>
      </w:r>
    </w:p>
    <w:p w14:paraId="341F6F8F" w14:textId="77777777" w:rsidR="00092204" w:rsidRPr="00092204" w:rsidRDefault="00092204" w:rsidP="00092204">
      <w:pPr>
        <w:pStyle w:val="Prrafodelista"/>
        <w:numPr>
          <w:ilvl w:val="4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अध्यक्ष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बिशप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स्थानीय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अगुआ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एल्डर</w:t>
      </w:r>
      <w:proofErr w:type="spellEnd"/>
      <w:r w:rsidRPr="00092204">
        <w:rPr>
          <w:rFonts w:ascii="Nirmala UI" w:hAnsi="Nirmala UI" w:cs="Nirmala UI"/>
          <w:sz w:val="20"/>
          <w:szCs w:val="20"/>
        </w:rPr>
        <w:t>)।</w:t>
      </w:r>
    </w:p>
    <w:p w14:paraId="697B6C66" w14:textId="5F31ECFA" w:rsidR="007A6750" w:rsidRPr="00092204" w:rsidRDefault="00092204" w:rsidP="00092204">
      <w:pPr>
        <w:pStyle w:val="Prrafodelista"/>
        <w:numPr>
          <w:ilvl w:val="4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सेवक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डीकन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संचालन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>।</w:t>
      </w:r>
    </w:p>
    <w:p w14:paraId="32C6F2EF" w14:textId="77777777" w:rsidR="00092204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उनके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भेजी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गई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सहायता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4:18)।</w:t>
      </w:r>
    </w:p>
    <w:p w14:paraId="1FDC53DA" w14:textId="744D99E5" w:rsidR="007A6750" w:rsidRPr="00092204" w:rsidRDefault="00092204" w:rsidP="00092204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वह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सांत्वना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सहकर्मियों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भेजता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92204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092204">
        <w:rPr>
          <w:rFonts w:ascii="Nirmala UI" w:hAnsi="Nirmala UI" w:cs="Nirmala UI"/>
          <w:sz w:val="20"/>
          <w:szCs w:val="20"/>
        </w:rPr>
        <w:t xml:space="preserve"> 4:7-9)।</w:t>
      </w:r>
    </w:p>
    <w:sectPr w:rsidR="007A6750" w:rsidRPr="00092204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422E2F0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7284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363EA"/>
    <w:rsid w:val="00073516"/>
    <w:rsid w:val="00092204"/>
    <w:rsid w:val="000B2AC6"/>
    <w:rsid w:val="000B440E"/>
    <w:rsid w:val="001058D7"/>
    <w:rsid w:val="001E4AA8"/>
    <w:rsid w:val="00247ED1"/>
    <w:rsid w:val="003036B8"/>
    <w:rsid w:val="00395C43"/>
    <w:rsid w:val="003D1262"/>
    <w:rsid w:val="003D5E96"/>
    <w:rsid w:val="004D5CB2"/>
    <w:rsid w:val="005354EF"/>
    <w:rsid w:val="0053766D"/>
    <w:rsid w:val="005C1131"/>
    <w:rsid w:val="006B286A"/>
    <w:rsid w:val="006D3186"/>
    <w:rsid w:val="00711123"/>
    <w:rsid w:val="007A6750"/>
    <w:rsid w:val="008F71D7"/>
    <w:rsid w:val="00AB406A"/>
    <w:rsid w:val="00AE09AF"/>
    <w:rsid w:val="00BA3EAE"/>
    <w:rsid w:val="00C02278"/>
    <w:rsid w:val="00C22FAD"/>
    <w:rsid w:val="00C46A68"/>
    <w:rsid w:val="00C97024"/>
    <w:rsid w:val="00EC5620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2025-12-28T07:44:00Z</cp:lastPrinted>
  <dcterms:created xsi:type="dcterms:W3CDTF">2025-12-28T16:08:00Z</dcterms:created>
  <dcterms:modified xsi:type="dcterms:W3CDTF">2025-12-28T16:08:00Z</dcterms:modified>
</cp:coreProperties>
</file>