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036D" w14:textId="083D158D" w:rsidR="0037091E" w:rsidRPr="00AE2ED4" w:rsidRDefault="00AE2ED4" w:rsidP="00AE2ED4">
      <w:pPr>
        <w:pStyle w:val="Prrafodelista"/>
        <w:numPr>
          <w:ilvl w:val="0"/>
          <w:numId w:val="1"/>
        </w:numPr>
        <w:spacing w:after="0"/>
        <w:jc w:val="both"/>
        <w:rPr>
          <w:rFonts w:ascii="Nirmala UI" w:hAnsi="Nirmala UI" w:cs="Nirmala UI"/>
          <w:b/>
          <w:bCs/>
          <w:sz w:val="20"/>
          <w:szCs w:val="20"/>
        </w:rPr>
      </w:pPr>
      <w:r w:rsidRPr="00AE2ED4">
        <w:rPr>
          <w:rFonts w:ascii="Nirmala UI" w:hAnsi="Nirmala UI" w:cs="Nirmala UI" w:hint="cs"/>
          <w:b/>
          <w:bCs/>
          <w:sz w:val="20"/>
          <w:szCs w:val="20"/>
        </w:rPr>
        <w:t>आत्मिक</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युद्ध</w:t>
      </w:r>
      <w:r w:rsidRPr="00AE2ED4">
        <w:rPr>
          <w:rFonts w:ascii="Nirmala UI" w:hAnsi="Nirmala UI" w:cs="Nirmala UI"/>
          <w:b/>
          <w:bCs/>
          <w:sz w:val="20"/>
          <w:szCs w:val="20"/>
        </w:rPr>
        <w:t>:</w:t>
      </w:r>
    </w:p>
    <w:p w14:paraId="2A7D46D0" w14:textId="6D953156" w:rsidR="0037091E" w:rsidRPr="00AE2ED4" w:rsidRDefault="00AE2ED4" w:rsidP="00AE2ED4">
      <w:pPr>
        <w:pStyle w:val="Prrafodelista"/>
        <w:numPr>
          <w:ilvl w:val="1"/>
          <w:numId w:val="1"/>
        </w:numPr>
        <w:spacing w:after="0"/>
        <w:jc w:val="both"/>
        <w:rPr>
          <w:rFonts w:ascii="Nirmala UI" w:hAnsi="Nirmala UI" w:cs="Nirmala UI"/>
          <w:b/>
          <w:bCs/>
          <w:sz w:val="20"/>
          <w:szCs w:val="20"/>
        </w:rPr>
      </w:pPr>
      <w:r w:rsidRPr="00AE2ED4">
        <w:rPr>
          <w:rFonts w:ascii="Nirmala UI" w:hAnsi="Nirmala UI" w:cs="Nirmala UI" w:hint="cs"/>
          <w:b/>
          <w:bCs/>
          <w:sz w:val="20"/>
          <w:szCs w:val="20"/>
        </w:rPr>
        <w:t>आक्रमण</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के</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हथियार</w:t>
      </w:r>
      <w:r w:rsidRPr="00AE2ED4">
        <w:rPr>
          <w:rFonts w:ascii="Nirmala UI" w:hAnsi="Nirmala UI" w:cs="Nirmala UI"/>
          <w:b/>
          <w:bCs/>
          <w:sz w:val="20"/>
          <w:szCs w:val="20"/>
        </w:rPr>
        <w:t xml:space="preserve"> (2 </w:t>
      </w:r>
      <w:r w:rsidRPr="00AE2ED4">
        <w:rPr>
          <w:rFonts w:ascii="Nirmala UI" w:hAnsi="Nirmala UI" w:cs="Nirmala UI" w:hint="cs"/>
          <w:b/>
          <w:bCs/>
          <w:sz w:val="20"/>
          <w:szCs w:val="20"/>
        </w:rPr>
        <w:t>कुरिन्थियों</w:t>
      </w:r>
      <w:r w:rsidRPr="00AE2ED4">
        <w:rPr>
          <w:rFonts w:ascii="Nirmala UI" w:hAnsi="Nirmala UI" w:cs="Nirmala UI"/>
          <w:b/>
          <w:bCs/>
          <w:sz w:val="20"/>
          <w:szCs w:val="20"/>
        </w:rPr>
        <w:t xml:space="preserve"> 10:1-11)</w:t>
      </w:r>
    </w:p>
    <w:p w14:paraId="71E180BA"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पौलुस पर आरोप लगाया गया कि वह व्यक्तिगत रूप से कायर और अनाड़ी था, जबकि अपने पत्रों में कठोर बातें लिखता था (2 कुरिन्थियों 10:10)</w:t>
      </w:r>
    </w:p>
    <w:p w14:paraId="6E1E5285"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इस तर्क के उत्तर में, पौलुस ने स्पष्ट रूप से बताया कि वह व्यक्तिगत रूप से भी उतना ही कठोर हो सकता था जितना कि किसी पत्र में, लेकिन वह “शारीरिक हथियारों</w:t>
      </w:r>
      <w:r w:rsidRPr="00AE2ED4">
        <w:rPr>
          <w:rFonts w:ascii="Nirmala UI" w:hAnsi="Nirmala UI" w:cs="Nirmala UI" w:hint="eastAsia"/>
          <w:sz w:val="20"/>
          <w:szCs w:val="20"/>
        </w:rPr>
        <w:t>”</w:t>
      </w:r>
      <w:r w:rsidRPr="00AE2ED4">
        <w:rPr>
          <w:rFonts w:ascii="Nirmala UI" w:hAnsi="Nirmala UI" w:cs="Nirmala UI"/>
          <w:sz w:val="20"/>
          <w:szCs w:val="20"/>
        </w:rPr>
        <w:t xml:space="preserve"> (जैसे अधिकार जताना, शारीरिक दंड देना या अपनी प्रशंसा करना) का सहारा लेने के स्तर तक नहीं गिरता था, बल्कि केवल उन हथियारों का उपयोग करता था जो “परमेश्वर में सामर्थी</w:t>
      </w:r>
      <w:r w:rsidRPr="00AE2ED4">
        <w:rPr>
          <w:rFonts w:ascii="Nirmala UI" w:hAnsi="Nirmala UI" w:cs="Nirmala UI" w:hint="eastAsia"/>
          <w:sz w:val="20"/>
          <w:szCs w:val="20"/>
        </w:rPr>
        <w:t>”</w:t>
      </w:r>
      <w:r w:rsidRPr="00AE2ED4">
        <w:rPr>
          <w:rFonts w:ascii="Nirmala UI" w:hAnsi="Nirmala UI" w:cs="Nirmala UI"/>
          <w:sz w:val="20"/>
          <w:szCs w:val="20"/>
        </w:rPr>
        <w:t xml:space="preserve"> हैं (2 कुरिन्थियों 10:2-4)</w:t>
      </w:r>
    </w:p>
    <w:p w14:paraId="5FBDD852"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इन “हथियारों</w:t>
      </w:r>
      <w:r w:rsidRPr="00AE2ED4">
        <w:rPr>
          <w:rFonts w:ascii="Nirmala UI" w:hAnsi="Nirmala UI" w:cs="Nirmala UI" w:hint="eastAsia"/>
          <w:sz w:val="20"/>
          <w:szCs w:val="20"/>
        </w:rPr>
        <w:t>”</w:t>
      </w:r>
      <w:r w:rsidRPr="00AE2ED4">
        <w:rPr>
          <w:rFonts w:ascii="Nirmala UI" w:hAnsi="Nirmala UI" w:cs="Nirmala UI"/>
          <w:sz w:val="20"/>
          <w:szCs w:val="20"/>
        </w:rPr>
        <w:t xml:space="preserve"> में मसीह की नम्रता और दीनता के साथ व्यवहार करना भी शामिल है (मत्ती 11:29)। लेकिन इनमें गलत काम के विरुद्ध दृढ़ता से खड़ा होना भी शामिल है, जैसा कि यीशु ने किया था (मत्ती 21:12-13), या आवश्यकता पड़ने पर स्पष्ट रूप से बोलना (मत्ती 23:23-27)</w:t>
      </w:r>
    </w:p>
    <w:p w14:paraId="415A11CE" w14:textId="79A317BE" w:rsidR="006F774E"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पौलुस को उसका अधिकार मसीह ने दिया था, और वह इसका उपयोग हमेशा निर्माण करने के लिए करता, न कि नष्ट करने के लिए (2 कुरिन्थियों 10:8)</w:t>
      </w:r>
    </w:p>
    <w:p w14:paraId="231267B7" w14:textId="4A5D6465" w:rsidR="0037091E" w:rsidRPr="00AE2ED4" w:rsidRDefault="00AE2ED4" w:rsidP="00AE2ED4">
      <w:pPr>
        <w:pStyle w:val="Prrafodelista"/>
        <w:numPr>
          <w:ilvl w:val="1"/>
          <w:numId w:val="1"/>
        </w:numPr>
        <w:spacing w:after="0"/>
        <w:jc w:val="both"/>
        <w:rPr>
          <w:rFonts w:ascii="Nirmala UI" w:hAnsi="Nirmala UI" w:cs="Nirmala UI"/>
          <w:b/>
          <w:bCs/>
          <w:sz w:val="20"/>
          <w:szCs w:val="20"/>
        </w:rPr>
      </w:pPr>
      <w:r w:rsidRPr="00AE2ED4">
        <w:rPr>
          <w:rFonts w:ascii="Nirmala UI" w:hAnsi="Nirmala UI" w:cs="Nirmala UI" w:hint="cs"/>
          <w:b/>
          <w:bCs/>
          <w:sz w:val="20"/>
          <w:szCs w:val="20"/>
        </w:rPr>
        <w:t>सही</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बचाव</w:t>
      </w:r>
      <w:r w:rsidRPr="00AE2ED4">
        <w:rPr>
          <w:rFonts w:ascii="Nirmala UI" w:hAnsi="Nirmala UI" w:cs="Nirmala UI"/>
          <w:b/>
          <w:bCs/>
          <w:sz w:val="20"/>
          <w:szCs w:val="20"/>
        </w:rPr>
        <w:t xml:space="preserve"> (2 </w:t>
      </w:r>
      <w:r w:rsidRPr="00AE2ED4">
        <w:rPr>
          <w:rFonts w:ascii="Nirmala UI" w:hAnsi="Nirmala UI" w:cs="Nirmala UI" w:hint="cs"/>
          <w:b/>
          <w:bCs/>
          <w:sz w:val="20"/>
          <w:szCs w:val="20"/>
        </w:rPr>
        <w:t>कुरिन्थियों</w:t>
      </w:r>
      <w:r w:rsidRPr="00AE2ED4">
        <w:rPr>
          <w:rFonts w:ascii="Nirmala UI" w:hAnsi="Nirmala UI" w:cs="Nirmala UI"/>
          <w:b/>
          <w:bCs/>
          <w:sz w:val="20"/>
          <w:szCs w:val="20"/>
        </w:rPr>
        <w:t xml:space="preserve"> 10:12-18)</w:t>
      </w:r>
    </w:p>
    <w:p w14:paraId="23DFE0F1"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यूनानी दार्शनिक उन विद्यार्थियों से बड़ी रकम लेते थे, जो उनसे सीखना चाहते थे। इन विद्यार्थियों को आकर्षित करने के लिए वे अपने ज्ञान, अपनी सामाजिक प्रतिष्ठा, या उन महत्वपूर्ण लोगों के बारे में घमण्ड करते थे जो उन्हें जानते और उनका सम्मान करते थे। कुरिन्थुस में घुस आए झूठे शिक्षकों की भी यही प्रथा थी (2 कुरिन्थियों 10:12; 11:19-20)</w:t>
      </w:r>
    </w:p>
    <w:p w14:paraId="52159BC0"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लेकिन पौलुस ने अपना ज्ञान बाँटने के लिए कोई शुल्क नहीं लिया, उसने सिफारिश के पत्र प्रस्तुत नहीं किए, और उसने अपने विषय में घमण्ड नहीं किया। और इसी कारण उसे तुच्छ समझा गया! वह अपना बचाव कैसे कर सकता था?</w:t>
      </w:r>
    </w:p>
    <w:p w14:paraId="3580A327"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ऐसा लगता है कि कुरिन्थियों द्वारा स्वीकार किए जाने के लिए उसे उनके सामने अपनी प्रशंसा करवाने की आवश्यकता थी। लेकिन अपनी प्रशंसा स्वयं उसे नहीं करनी थी (नीतिवचन 27:2)। पौलुस ने परमेश्वर को ही उसकी प्रशंसा करने दी (2 कुरिन्थियों 10:18)</w:t>
      </w:r>
    </w:p>
    <w:p w14:paraId="14219C45" w14:textId="383742C3" w:rsidR="0037091E" w:rsidRPr="00AE2ED4" w:rsidRDefault="00AE2ED4" w:rsidP="00AE2ED4">
      <w:pPr>
        <w:pStyle w:val="Prrafodelista"/>
        <w:numPr>
          <w:ilvl w:val="2"/>
          <w:numId w:val="1"/>
        </w:numPr>
        <w:spacing w:after="0"/>
        <w:jc w:val="both"/>
        <w:rPr>
          <w:rFonts w:ascii="Nirmala UI" w:hAnsi="Nirmala UI" w:cs="Nirmala UI"/>
          <w:b/>
          <w:bCs/>
          <w:sz w:val="20"/>
          <w:szCs w:val="20"/>
        </w:rPr>
      </w:pPr>
      <w:r w:rsidRPr="00AE2ED4">
        <w:rPr>
          <w:rFonts w:ascii="Nirmala UI" w:hAnsi="Nirmala UI" w:cs="Nirmala UI"/>
          <w:sz w:val="20"/>
          <w:szCs w:val="20"/>
        </w:rPr>
        <w:t>यदि ऐसी कोई बात है जिसके विषय में हम घमण्ड या अपनी प्रशंसा कर सकते हैं, तो वह परमेश्वर को जानना और उसकी आज्ञा मानना है (यिर्मयाह 9:24; 2 कुरिन्थियों 10:17)</w:t>
      </w:r>
    </w:p>
    <w:p w14:paraId="6874ACCD" w14:textId="4BFB9D5F" w:rsidR="0037091E" w:rsidRPr="00AE2ED4" w:rsidRDefault="00AE2ED4" w:rsidP="00AE2ED4">
      <w:pPr>
        <w:pStyle w:val="Prrafodelista"/>
        <w:numPr>
          <w:ilvl w:val="1"/>
          <w:numId w:val="1"/>
        </w:numPr>
        <w:spacing w:after="0"/>
        <w:jc w:val="both"/>
        <w:rPr>
          <w:rFonts w:ascii="Nirmala UI" w:hAnsi="Nirmala UI" w:cs="Nirmala UI"/>
          <w:b/>
          <w:bCs/>
          <w:sz w:val="20"/>
          <w:szCs w:val="20"/>
        </w:rPr>
      </w:pPr>
      <w:r w:rsidRPr="00AE2ED4">
        <w:rPr>
          <w:rFonts w:ascii="Nirmala UI" w:hAnsi="Nirmala UI" w:cs="Nirmala UI" w:hint="cs"/>
          <w:b/>
          <w:bCs/>
          <w:sz w:val="20"/>
          <w:szCs w:val="20"/>
        </w:rPr>
        <w:t>प्रेरितों</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के</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वेश</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में</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धोखा</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देने</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वाले</w:t>
      </w:r>
      <w:r w:rsidRPr="00AE2ED4">
        <w:rPr>
          <w:rFonts w:ascii="Nirmala UI" w:hAnsi="Nirmala UI" w:cs="Nirmala UI"/>
          <w:b/>
          <w:bCs/>
          <w:sz w:val="20"/>
          <w:szCs w:val="20"/>
        </w:rPr>
        <w:t xml:space="preserve"> (2 </w:t>
      </w:r>
      <w:r w:rsidRPr="00AE2ED4">
        <w:rPr>
          <w:rFonts w:ascii="Nirmala UI" w:hAnsi="Nirmala UI" w:cs="Nirmala UI" w:hint="cs"/>
          <w:b/>
          <w:bCs/>
          <w:sz w:val="20"/>
          <w:szCs w:val="20"/>
        </w:rPr>
        <w:t>कुरिन्थियों</w:t>
      </w:r>
      <w:r w:rsidRPr="00AE2ED4">
        <w:rPr>
          <w:rFonts w:ascii="Nirmala UI" w:hAnsi="Nirmala UI" w:cs="Nirmala UI"/>
          <w:b/>
          <w:bCs/>
          <w:sz w:val="20"/>
          <w:szCs w:val="20"/>
        </w:rPr>
        <w:t xml:space="preserve"> 11:1-15)</w:t>
      </w:r>
    </w:p>
    <w:p w14:paraId="43F5D0A6"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पौलुस की इच्छा थी कि वह मसीह के सामने एक शुद्ध कलीसिया प्रस्तुत करे (2 कुरिन्थियों 11:2)। लेकिन कलीसिया के धोखा खा जाने का खतरा था, ठीक जैसे हव्वा धोखा खा गई थी, और इस प्रकार यीशु की दुल्हन बने रहने से दूर हो जाने का खतरा था (2 कुरिन्थियों 11:3)</w:t>
      </w:r>
    </w:p>
    <w:p w14:paraId="16806FCD"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असल खतरा क्या था? कुछ यहूदी, जो स्वयं को यीशु के “महान प्रेरित</w:t>
      </w:r>
      <w:r w:rsidRPr="00AE2ED4">
        <w:rPr>
          <w:rFonts w:ascii="Nirmala UI" w:hAnsi="Nirmala UI" w:cs="Nirmala UI" w:hint="eastAsia"/>
          <w:sz w:val="20"/>
          <w:szCs w:val="20"/>
        </w:rPr>
        <w:t>”</w:t>
      </w:r>
      <w:r w:rsidRPr="00AE2ED4">
        <w:rPr>
          <w:rFonts w:ascii="Nirmala UI" w:hAnsi="Nirmala UI" w:cs="Nirmala UI"/>
          <w:sz w:val="20"/>
          <w:szCs w:val="20"/>
        </w:rPr>
        <w:t xml:space="preserve"> बताते थे, कुरिन्थुस में आकर “दूसरे यीशु,” “भिन्न आत्मा,” और “भिन्न सुसमाचार</w:t>
      </w:r>
      <w:r w:rsidRPr="00AE2ED4">
        <w:rPr>
          <w:rFonts w:ascii="Nirmala UI" w:hAnsi="Nirmala UI" w:cs="Nirmala UI" w:hint="eastAsia"/>
          <w:sz w:val="20"/>
          <w:szCs w:val="20"/>
        </w:rPr>
        <w:t>”</w:t>
      </w:r>
      <w:r w:rsidRPr="00AE2ED4">
        <w:rPr>
          <w:rFonts w:ascii="Nirmala UI" w:hAnsi="Nirmala UI" w:cs="Nirmala UI"/>
          <w:sz w:val="20"/>
          <w:szCs w:val="20"/>
        </w:rPr>
        <w:t xml:space="preserve"> की शिक्षा दे रहे थे (2 कुरिन्थियों 11:4-5; गलातियों 1:8)</w:t>
      </w:r>
    </w:p>
    <w:p w14:paraId="38C02C2B"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केवल इस तथ्य से कि कोई व्यक्ति यीशु के विषय में प्रचार करता है, यह सिद्ध नहीं होता कि वह हमें वास्तविक यीशु दिखा रहा है, जैसा कि बाइबल में प्रकट किया गया है। उनके शब्द अद्भुत हो सकते हैं, लेकिन शैतान स्वयं भी अद्भुत बातें बोलना और अपने आपको “ज्योतिर्मय दूत” के रूप में प्रस्तुत करना जानता है (2 कुरिन्थियों 11:14)</w:t>
      </w:r>
    </w:p>
    <w:p w14:paraId="182F6C53" w14:textId="13DE81F0" w:rsidR="00B46099"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अपने कार्यों और शब्दों के द्वारा सच्चे शिक्षक “मसीह की सच्चाई</w:t>
      </w:r>
      <w:r w:rsidRPr="00AE2ED4">
        <w:rPr>
          <w:rFonts w:ascii="Nirmala UI" w:hAnsi="Nirmala UI" w:cs="Nirmala UI" w:hint="eastAsia"/>
          <w:sz w:val="20"/>
          <w:szCs w:val="20"/>
        </w:rPr>
        <w:t>”</w:t>
      </w:r>
      <w:r w:rsidRPr="00AE2ED4">
        <w:rPr>
          <w:rFonts w:ascii="Nirmala UI" w:hAnsi="Nirmala UI" w:cs="Nirmala UI"/>
          <w:sz w:val="20"/>
          <w:szCs w:val="20"/>
        </w:rPr>
        <w:t xml:space="preserve"> सिखाते हैं (2 कुरिन्थियों 11:9-10)। लेकिन झूठे शिक्षक, जो केवल भक्ति का दिखावा करते हैं, प्रेरितों के वेश में धोखे के सेवक हैं (2 कुरिन्थियों 11:13-15)</w:t>
      </w:r>
    </w:p>
    <w:p w14:paraId="5F1614FB" w14:textId="4CEA23F7" w:rsidR="0037091E" w:rsidRPr="00AE2ED4" w:rsidRDefault="00AE2ED4" w:rsidP="00AE2ED4">
      <w:pPr>
        <w:pStyle w:val="Prrafodelista"/>
        <w:numPr>
          <w:ilvl w:val="1"/>
          <w:numId w:val="1"/>
        </w:numPr>
        <w:spacing w:after="0"/>
        <w:jc w:val="both"/>
        <w:rPr>
          <w:rFonts w:ascii="Nirmala UI" w:hAnsi="Nirmala UI" w:cs="Nirmala UI"/>
          <w:b/>
          <w:bCs/>
          <w:sz w:val="20"/>
          <w:szCs w:val="20"/>
        </w:rPr>
      </w:pPr>
      <w:r w:rsidRPr="00AE2ED4">
        <w:rPr>
          <w:rFonts w:ascii="Nirmala UI" w:hAnsi="Nirmala UI" w:cs="Nirmala UI" w:hint="cs"/>
          <w:b/>
          <w:bCs/>
          <w:sz w:val="20"/>
          <w:szCs w:val="20"/>
        </w:rPr>
        <w:t>पौलुस</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और</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झूठे</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शिक्षक</w:t>
      </w:r>
      <w:r w:rsidRPr="00AE2ED4">
        <w:rPr>
          <w:rFonts w:ascii="Nirmala UI" w:hAnsi="Nirmala UI" w:cs="Nirmala UI"/>
          <w:b/>
          <w:bCs/>
          <w:sz w:val="20"/>
          <w:szCs w:val="20"/>
        </w:rPr>
        <w:t xml:space="preserve"> (2 </w:t>
      </w:r>
      <w:r w:rsidRPr="00AE2ED4">
        <w:rPr>
          <w:rFonts w:ascii="Nirmala UI" w:hAnsi="Nirmala UI" w:cs="Nirmala UI" w:hint="cs"/>
          <w:b/>
          <w:bCs/>
          <w:sz w:val="20"/>
          <w:szCs w:val="20"/>
        </w:rPr>
        <w:t>कुरिन्थियों</w:t>
      </w:r>
      <w:r w:rsidRPr="00AE2ED4">
        <w:rPr>
          <w:rFonts w:ascii="Nirmala UI" w:hAnsi="Nirmala UI" w:cs="Nirmala UI"/>
          <w:b/>
          <w:bCs/>
          <w:sz w:val="20"/>
          <w:szCs w:val="20"/>
        </w:rPr>
        <w:t xml:space="preserve"> 11:16-31)</w:t>
      </w:r>
    </w:p>
    <w:p w14:paraId="6803DF03"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पौलुस और झूठे शिक्षकों के बीच क्या समानताएँ थीं? वे सभी ऐसे यहूदी थे जो मसीही विश्वास में परिवर्तित हो चुके थे (2 कुरिन्थियों 11:22)</w:t>
      </w:r>
    </w:p>
    <w:p w14:paraId="503F2C07"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उनके बीच क्या अंतर था? यहाँ से पौलुस की “मूर्खता</w:t>
      </w:r>
      <w:r w:rsidRPr="00AE2ED4">
        <w:rPr>
          <w:rFonts w:ascii="Nirmala UI" w:hAnsi="Nirmala UI" w:cs="Nirmala UI" w:hint="eastAsia"/>
          <w:sz w:val="20"/>
          <w:szCs w:val="20"/>
        </w:rPr>
        <w:t>”</w:t>
      </w:r>
      <w:r w:rsidRPr="00AE2ED4">
        <w:rPr>
          <w:rFonts w:ascii="Nirmala UI" w:hAnsi="Nirmala UI" w:cs="Nirmala UI"/>
          <w:sz w:val="20"/>
          <w:szCs w:val="20"/>
        </w:rPr>
        <w:t xml:space="preserve"> आरम्भ होती है: “क्या वे मसीह के सेवक हैं? (मैं इस तरह बोलकर पागल-सा हो गया हूँ।) मैं उनसे भी अधिक हूँ</w:t>
      </w:r>
      <w:r w:rsidRPr="00AE2ED4">
        <w:rPr>
          <w:rFonts w:ascii="Nirmala UI" w:hAnsi="Nirmala UI" w:cs="Nirmala UI" w:hint="eastAsia"/>
          <w:sz w:val="20"/>
          <w:szCs w:val="20"/>
        </w:rPr>
        <w:t>”</w:t>
      </w:r>
      <w:r w:rsidRPr="00AE2ED4">
        <w:rPr>
          <w:rFonts w:ascii="Nirmala UI" w:hAnsi="Nirmala UI" w:cs="Nirmala UI"/>
          <w:sz w:val="20"/>
          <w:szCs w:val="20"/>
        </w:rPr>
        <w:t xml:space="preserve"> (2 कुरिन्थियों 11:23) यदि वे दूसरे लोग मसीह के लिए दुःख सहने का घमण्ड करते थे, तो पौलुस इस विषय में कहीं अधिक योग्य था: कोड़े खाना; जेल में डाला जाना; मृत्यु की धमकी मिलना; पत्थराव किया जाना; समुद्र में जहाज़ टूटने का सामना करना; हर प्रकार के खतरों से घिरे रहना; भूख, प्यास, ठंड और नग्नता सहना; और कलीसियाओं के लिए लगातार चिंता करना (2 कुरिन्थियों 11:23बी-29)</w:t>
      </w:r>
    </w:p>
    <w:p w14:paraId="7AC2FFDA"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और यहीं पौलुस की “मूर्खता</w:t>
      </w:r>
      <w:r w:rsidRPr="00AE2ED4">
        <w:rPr>
          <w:rFonts w:ascii="Nirmala UI" w:hAnsi="Nirmala UI" w:cs="Nirmala UI" w:hint="eastAsia"/>
          <w:sz w:val="20"/>
          <w:szCs w:val="20"/>
        </w:rPr>
        <w:t>”</w:t>
      </w:r>
      <w:r w:rsidRPr="00AE2ED4">
        <w:rPr>
          <w:rFonts w:ascii="Nirmala UI" w:hAnsi="Nirmala UI" w:cs="Nirmala UI"/>
          <w:sz w:val="20"/>
          <w:szCs w:val="20"/>
        </w:rPr>
        <w:t xml:space="preserve"> समाप्त होती है। वह यह प्रभाव नहीं देना चाहता था कि वह मसीह के लिए किए गए अपने कार्यों के विषय में घमण्ड करना चाहता है। उसका सच्चा घमण्ड (या महिमा) इस बात में था कि मसीह ने उसके लिए क्या किया था।</w:t>
      </w:r>
    </w:p>
    <w:p w14:paraId="7A45AC59" w14:textId="0F9FC8CF" w:rsidR="009F1C6B"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उसकी वास्तविक सामर्थ्य उसकी निर्बलता में थी, जिसने उसे पूरी तरह यीशु पर निर्भर रहने के लिए प्रेरित किया (2 कुरिन्थियों 11:30-31; 12:6-10)</w:t>
      </w:r>
    </w:p>
    <w:p w14:paraId="371F602E" w14:textId="22388DE8" w:rsidR="00395C43" w:rsidRPr="00AE2ED4" w:rsidRDefault="00AE2ED4" w:rsidP="00AE2ED4">
      <w:pPr>
        <w:pStyle w:val="Prrafodelista"/>
        <w:numPr>
          <w:ilvl w:val="1"/>
          <w:numId w:val="1"/>
        </w:numPr>
        <w:spacing w:after="0"/>
        <w:jc w:val="both"/>
        <w:rPr>
          <w:rFonts w:ascii="Nirmala UI" w:hAnsi="Nirmala UI" w:cs="Nirmala UI"/>
          <w:b/>
          <w:bCs/>
          <w:sz w:val="20"/>
          <w:szCs w:val="20"/>
        </w:rPr>
      </w:pPr>
      <w:r w:rsidRPr="00AE2ED4">
        <w:rPr>
          <w:rFonts w:ascii="Nirmala UI" w:hAnsi="Nirmala UI" w:cs="Nirmala UI" w:hint="cs"/>
          <w:b/>
          <w:bCs/>
          <w:sz w:val="20"/>
          <w:szCs w:val="20"/>
        </w:rPr>
        <w:t>आत्म</w:t>
      </w:r>
      <w:r w:rsidRPr="00AE2ED4">
        <w:rPr>
          <w:rFonts w:ascii="Nirmala UI" w:hAnsi="Nirmala UI" w:cs="Nirmala UI"/>
          <w:b/>
          <w:bCs/>
          <w:sz w:val="20"/>
          <w:szCs w:val="20"/>
        </w:rPr>
        <w:t>-</w:t>
      </w:r>
      <w:r w:rsidRPr="00AE2ED4">
        <w:rPr>
          <w:rFonts w:ascii="Nirmala UI" w:hAnsi="Nirmala UI" w:cs="Nirmala UI" w:hint="cs"/>
          <w:b/>
          <w:bCs/>
          <w:sz w:val="20"/>
          <w:szCs w:val="20"/>
        </w:rPr>
        <w:t>परीक्षण</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और</w:t>
      </w:r>
      <w:r w:rsidRPr="00AE2ED4">
        <w:rPr>
          <w:rFonts w:ascii="Nirmala UI" w:hAnsi="Nirmala UI" w:cs="Nirmala UI"/>
          <w:b/>
          <w:bCs/>
          <w:sz w:val="20"/>
          <w:szCs w:val="20"/>
        </w:rPr>
        <w:t xml:space="preserve"> </w:t>
      </w:r>
      <w:r w:rsidRPr="00AE2ED4">
        <w:rPr>
          <w:rFonts w:ascii="Nirmala UI" w:hAnsi="Nirmala UI" w:cs="Nirmala UI" w:hint="cs"/>
          <w:b/>
          <w:bCs/>
          <w:sz w:val="20"/>
          <w:szCs w:val="20"/>
        </w:rPr>
        <w:t>विजय</w:t>
      </w:r>
      <w:r w:rsidRPr="00AE2ED4">
        <w:rPr>
          <w:rFonts w:ascii="Nirmala UI" w:hAnsi="Nirmala UI" w:cs="Nirmala UI"/>
          <w:b/>
          <w:bCs/>
          <w:sz w:val="20"/>
          <w:szCs w:val="20"/>
        </w:rPr>
        <w:t xml:space="preserve"> (2 </w:t>
      </w:r>
      <w:r w:rsidRPr="00AE2ED4">
        <w:rPr>
          <w:rFonts w:ascii="Nirmala UI" w:hAnsi="Nirmala UI" w:cs="Nirmala UI" w:hint="cs"/>
          <w:b/>
          <w:bCs/>
          <w:sz w:val="20"/>
          <w:szCs w:val="20"/>
        </w:rPr>
        <w:t>कुरिन्थियों</w:t>
      </w:r>
      <w:r w:rsidRPr="00AE2ED4">
        <w:rPr>
          <w:rFonts w:ascii="Nirmala UI" w:hAnsi="Nirmala UI" w:cs="Nirmala UI"/>
          <w:b/>
          <w:bCs/>
          <w:sz w:val="20"/>
          <w:szCs w:val="20"/>
        </w:rPr>
        <w:t xml:space="preserve"> 12:14-13:10)</w:t>
      </w:r>
    </w:p>
    <w:p w14:paraId="00445910"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वह समय निकट आ रहा था जब पौलुस कुरिन्थुस आएगा। वह वहाँ क्या पाएगा और उसे उसके अनुसार कैसे कार्य करना चाहिए? (2 कुरिन्थियों 13:1-2)</w:t>
      </w:r>
    </w:p>
    <w:p w14:paraId="416C2A41"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पौलुस कलीसियाई अनुशासन को दृढ़ता से लागू करने के लिए तैयार था: पश्चात्ताप करने वालों को पुनःस्थापित करने और हठी लोगों को दण्ड देने के लिए।</w:t>
      </w:r>
    </w:p>
    <w:p w14:paraId="58C94A0C"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उसे भय था कि वहाँ पहुँचने पर वह उन्हें झगड़ों और विभिन्न पापों में लिप्त पाएगा। उसे डर था कि उसे उन पापियों के लिए रोना पड़ेगा जिन्होंने पश्चात्ताप नहीं किया था (2 कुरिन्थियों 12:20-21)</w:t>
      </w:r>
    </w:p>
    <w:p w14:paraId="272776A1" w14:textId="77777777" w:rsidR="00AE2ED4"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इसलिए, उस समय के आने से पहले, कुरिन्थियों को मनन करना और स्वयं की जाँच करनी चाहिए थी (2 कुरिन्थियों 13:5)</w:t>
      </w:r>
    </w:p>
    <w:p w14:paraId="3634EA67" w14:textId="00FB7440" w:rsidR="002A7C43" w:rsidRPr="00AE2ED4" w:rsidRDefault="00AE2ED4" w:rsidP="00AE2ED4">
      <w:pPr>
        <w:pStyle w:val="Prrafodelista"/>
        <w:numPr>
          <w:ilvl w:val="2"/>
          <w:numId w:val="1"/>
        </w:numPr>
        <w:spacing w:after="0"/>
        <w:jc w:val="both"/>
        <w:rPr>
          <w:rFonts w:ascii="Nirmala UI" w:hAnsi="Nirmala UI" w:cs="Nirmala UI"/>
          <w:sz w:val="20"/>
          <w:szCs w:val="20"/>
        </w:rPr>
      </w:pPr>
      <w:r w:rsidRPr="00AE2ED4">
        <w:rPr>
          <w:rFonts w:ascii="Nirmala UI" w:hAnsi="Nirmala UI" w:cs="Nirmala UI"/>
          <w:sz w:val="20"/>
          <w:szCs w:val="20"/>
        </w:rPr>
        <w:t>पौलुस ने अपनी ओर से उनके लिए प्रार्थना की कि वे बुराई करना छोड़ दें, भलाई करें और सिद्ध किए जाएँ (2 कुरिन्थियों 13:7-9)</w:t>
      </w:r>
    </w:p>
    <w:sectPr w:rsidR="002A7C43" w:rsidRPr="00AE2ED4" w:rsidSect="00AE2ED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0A3"/>
    <w:multiLevelType w:val="multilevel"/>
    <w:tmpl w:val="C99860B0"/>
    <w:lvl w:ilvl="0">
      <w:start w:val="1"/>
      <w:numFmt w:val="hindiVowels"/>
      <w:lvlText w:val="%1."/>
      <w:lvlJc w:val="left"/>
      <w:pPr>
        <w:ind w:left="360" w:hanging="360"/>
      </w:pPr>
      <w:rPr>
        <w:rFonts w:ascii="Nirmala UI" w:eastAsiaTheme="minorHAnsi" w:hAnsi="Nirmala UI" w:cs="Nirmala UI"/>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4080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1E"/>
    <w:rsid w:val="00004746"/>
    <w:rsid w:val="000B2AC6"/>
    <w:rsid w:val="000B440E"/>
    <w:rsid w:val="00176AC9"/>
    <w:rsid w:val="001E4AA8"/>
    <w:rsid w:val="002A7C43"/>
    <w:rsid w:val="002F39E4"/>
    <w:rsid w:val="003036B8"/>
    <w:rsid w:val="0037091E"/>
    <w:rsid w:val="00395C43"/>
    <w:rsid w:val="003D4508"/>
    <w:rsid w:val="003D5E96"/>
    <w:rsid w:val="003E1E8B"/>
    <w:rsid w:val="003F6D30"/>
    <w:rsid w:val="004A5818"/>
    <w:rsid w:val="004D5CB2"/>
    <w:rsid w:val="00556E57"/>
    <w:rsid w:val="006B286A"/>
    <w:rsid w:val="006C1762"/>
    <w:rsid w:val="006F774E"/>
    <w:rsid w:val="00711123"/>
    <w:rsid w:val="00856324"/>
    <w:rsid w:val="009F1C6B"/>
    <w:rsid w:val="00A04255"/>
    <w:rsid w:val="00AB406A"/>
    <w:rsid w:val="00AE2ED4"/>
    <w:rsid w:val="00B143ED"/>
    <w:rsid w:val="00B46099"/>
    <w:rsid w:val="00B47358"/>
    <w:rsid w:val="00BA3EAE"/>
    <w:rsid w:val="00C22FAD"/>
    <w:rsid w:val="00C46A6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B9EC"/>
  <w15:chartTrackingRefBased/>
  <w15:docId w15:val="{07BB0D21-F77B-4197-B244-F92C3992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370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0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09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09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09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09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09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09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09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37091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37091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37091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37091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37091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37091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37091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37091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37091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37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91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3709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091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37091E"/>
    <w:pPr>
      <w:spacing w:before="160"/>
      <w:jc w:val="center"/>
    </w:pPr>
    <w:rPr>
      <w:i/>
      <w:iCs/>
      <w:color w:val="404040" w:themeColor="text1" w:themeTint="BF"/>
    </w:rPr>
  </w:style>
  <w:style w:type="character" w:customStyle="1" w:styleId="CitaCar">
    <w:name w:val="Cita Car"/>
    <w:basedOn w:val="Fuentedeprrafopredeter"/>
    <w:link w:val="Cita"/>
    <w:uiPriority w:val="29"/>
    <w:rsid w:val="0037091E"/>
    <w:rPr>
      <w:i/>
      <w:iCs/>
      <w:color w:val="404040" w:themeColor="text1" w:themeTint="BF"/>
      <w:kern w:val="0"/>
      <w:sz w:val="24"/>
      <w14:ligatures w14:val="none"/>
    </w:rPr>
  </w:style>
  <w:style w:type="paragraph" w:styleId="Prrafodelista">
    <w:name w:val="List Paragraph"/>
    <w:basedOn w:val="Normal"/>
    <w:uiPriority w:val="34"/>
    <w:qFormat/>
    <w:rsid w:val="0037091E"/>
    <w:pPr>
      <w:ind w:left="720"/>
      <w:contextualSpacing/>
    </w:pPr>
  </w:style>
  <w:style w:type="character" w:styleId="nfasisintenso">
    <w:name w:val="Intense Emphasis"/>
    <w:basedOn w:val="Fuentedeprrafopredeter"/>
    <w:uiPriority w:val="21"/>
    <w:qFormat/>
    <w:rsid w:val="0037091E"/>
    <w:rPr>
      <w:i/>
      <w:iCs/>
      <w:color w:val="0F4761" w:themeColor="accent1" w:themeShade="BF"/>
    </w:rPr>
  </w:style>
  <w:style w:type="paragraph" w:styleId="Citadestacada">
    <w:name w:val="Intense Quote"/>
    <w:basedOn w:val="Normal"/>
    <w:next w:val="Normal"/>
    <w:link w:val="CitadestacadaCar"/>
    <w:uiPriority w:val="30"/>
    <w:qFormat/>
    <w:rsid w:val="00370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091E"/>
    <w:rPr>
      <w:i/>
      <w:iCs/>
      <w:color w:val="0F4761" w:themeColor="accent1" w:themeShade="BF"/>
      <w:kern w:val="0"/>
      <w:sz w:val="24"/>
      <w14:ligatures w14:val="none"/>
    </w:rPr>
  </w:style>
  <w:style w:type="character" w:styleId="Referenciaintensa">
    <w:name w:val="Intense Reference"/>
    <w:basedOn w:val="Fuentedeprrafopredeter"/>
    <w:uiPriority w:val="32"/>
    <w:qFormat/>
    <w:rsid w:val="003709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720</Words>
  <Characters>3965</Characters>
  <Application>Microsoft Office Word</Application>
  <DocSecurity>4</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cp:lastPrinted>2026-08-19T09:15:00Z</cp:lastPrinted>
  <dcterms:created xsi:type="dcterms:W3CDTF">2026-08-20T09:35:00Z</dcterms:created>
  <dcterms:modified xsi:type="dcterms:W3CDTF">2026-08-20T09:35:00Z</dcterms:modified>
</cp:coreProperties>
</file>