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62FA51E2" w:rsidR="001E38FE" w:rsidRPr="00E37A5D" w:rsidRDefault="00E37A5D" w:rsidP="00E37A5D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D3718E"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12: 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>एक दूसरे के साथ रहना</w:t>
      </w:r>
    </w:p>
    <w:p w14:paraId="79197B56" w14:textId="499F32CE" w:rsidR="00D3718E" w:rsidRPr="00E37A5D" w:rsidRDefault="00E37A5D" w:rsidP="00E37A5D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शास्त्र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गीत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सदा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आनन्दित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रहो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थिस्सलुनीकियों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r w:rsidRPr="00E37A5D">
        <w:rPr>
          <w:rFonts w:ascii="Nirmala UI" w:hAnsi="Nirmala UI" w:cs="Nirmala UI" w:hint="cs"/>
          <w:b/>
          <w:bCs/>
          <w:sz w:val="24"/>
          <w:szCs w:val="24"/>
          <w:lang w:val="en-US"/>
        </w:rPr>
        <w:t>फिलिप्पियों</w:t>
      </w:r>
      <w:r w:rsidRPr="00E37A5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2A7EA7DD" w14:textId="77777777" w:rsidR="00E37A5D" w:rsidRPr="00E37A5D" w:rsidRDefault="00E37A5D" w:rsidP="00E37A5D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752A6F9B" w14:textId="38C62032" w:rsidR="00D3718E" w:rsidRPr="00E37A5D" w:rsidRDefault="00E37A5D" w:rsidP="00E37A5D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E37A5D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पति</w:t>
      </w:r>
      <w:r w:rsidRPr="00E37A5D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E37A5D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और</w:t>
      </w:r>
      <w:r w:rsidRPr="00E37A5D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E37A5D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पत्नी</w:t>
      </w:r>
    </w:p>
    <w:p w14:paraId="0D48716B" w14:textId="77777777" w:rsidR="00E37A5D" w:rsidRDefault="00E37A5D" w:rsidP="00E37A5D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6D4098E" w14:textId="43B2995F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3:18</w:t>
      </w:r>
      <w:r>
        <w:rPr>
          <w:rFonts w:ascii="Nirmala UI" w:hAnsi="Nirmala UI" w:cs="Nirmala UI"/>
          <w:sz w:val="24"/>
          <w:szCs w:val="24"/>
          <w:lang w:val="en-US"/>
        </w:rPr>
        <w:t>ए</w:t>
      </w:r>
      <w:r w:rsidRPr="00325E38">
        <w:rPr>
          <w:rFonts w:ascii="Nirmala UI" w:hAnsi="Nirmala UI" w:cs="Nirmala UI"/>
          <w:sz w:val="24"/>
          <w:szCs w:val="24"/>
          <w:lang w:val="en-US"/>
        </w:rPr>
        <w:t xml:space="preserve"> — इस सलाह को किस प्रकार संदर्भ से बाहर निकालकर गलत रूप में प्रयोग किया गया है?</w:t>
      </w:r>
    </w:p>
    <w:p w14:paraId="417963A0" w14:textId="4A70F453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कुलुस्सियों 3:18 के दूसरे भाग में कौन-</w:t>
      </w:r>
      <w:r>
        <w:rPr>
          <w:rFonts w:ascii="Nirmala UI" w:hAnsi="Nirmala UI" w:cs="Nirmala UI"/>
          <w:sz w:val="24"/>
          <w:szCs w:val="24"/>
          <w:lang w:val="en-US"/>
        </w:rPr>
        <w:t>सी</w:t>
      </w:r>
      <w:r w:rsidRPr="00325E38">
        <w:rPr>
          <w:rFonts w:ascii="Nirmala UI" w:hAnsi="Nirmala UI" w:cs="Nirmala UI"/>
          <w:sz w:val="24"/>
          <w:szCs w:val="24"/>
          <w:lang w:val="en-US"/>
        </w:rPr>
        <w:t xml:space="preserve"> महत्वपूर्ण शर्त/योग्यता पाई जाती है?</w:t>
      </w:r>
    </w:p>
    <w:p w14:paraId="2C18C9B1" w14:textId="4FB01586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परिवार के संदर्भ में समर्पण की इस अवधारणा को समझने में निम्नलिखित प</w:t>
      </w:r>
      <w:r>
        <w:rPr>
          <w:rFonts w:ascii="Nirmala UI" w:hAnsi="Nirmala UI" w:cs="Nirmala UI"/>
          <w:sz w:val="24"/>
          <w:szCs w:val="24"/>
          <w:lang w:val="en-US"/>
        </w:rPr>
        <w:t>द्य</w:t>
      </w:r>
      <w:r w:rsidRPr="00325E38">
        <w:rPr>
          <w:rFonts w:ascii="Nirmala UI" w:hAnsi="Nirmala UI" w:cs="Nirmala UI"/>
          <w:sz w:val="24"/>
          <w:szCs w:val="24"/>
          <w:lang w:val="en-US"/>
        </w:rPr>
        <w:t xml:space="preserve"> हमें कैसे सहायता करते हैं? इफिसियों 5:21–22</w:t>
      </w:r>
    </w:p>
    <w:p w14:paraId="296D9A88" w14:textId="77777777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कुलुस्सियों 3:19 में प्रेरित पौलुस पतियों को क्या सलाह देता है? (देखें: इफिसियों 5:25)</w:t>
      </w:r>
    </w:p>
    <w:p w14:paraId="746FEB64" w14:textId="77777777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हमें एक-दूसरे से आगापे प्रेम के साथ प्रेम करने के लिए बुलाया गया है। आप आगापे प्रेम का वर्णन कैसे करेंगे?</w:t>
      </w:r>
    </w:p>
    <w:p w14:paraId="05DA9E5A" w14:textId="77777777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मानव परिवार में ऐसा प्रेम कैसे संभव है? रोमियों 5:5</w:t>
      </w:r>
    </w:p>
    <w:p w14:paraId="7BB3FAAD" w14:textId="77777777" w:rsidR="00325E38" w:rsidRPr="00325E38" w:rsidRDefault="00325E38" w:rsidP="00325E38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यीशु की कौन-सी शिक्षा ने आगापे प्रेम के साथ एक-दूसरे से प्रेम करने के महत्व पर ज़ोर दिया? यूहन्ना 13:34–35</w:t>
      </w:r>
    </w:p>
    <w:p w14:paraId="1175EF25" w14:textId="77777777" w:rsidR="00E37A5D" w:rsidRPr="00E37A5D" w:rsidRDefault="00E37A5D" w:rsidP="00E37A5D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5439C6D" w14:textId="55E913EF" w:rsidR="00D3718E" w:rsidRPr="00E37A5D" w:rsidRDefault="00325E38" w:rsidP="00325E38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325E38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माता</w:t>
      </w:r>
      <w:r w:rsidRPr="00325E38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-</w:t>
      </w:r>
      <w:r w:rsidRPr="00325E38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पिता</w:t>
      </w:r>
      <w:r w:rsidRPr="00325E38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325E38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और</w:t>
      </w:r>
      <w:r w:rsidRPr="00325E38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325E38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बच्चे</w:t>
      </w:r>
    </w:p>
    <w:p w14:paraId="286700AC" w14:textId="73FC939E" w:rsidR="00325E38" w:rsidRPr="00325E38" w:rsidRDefault="00325E38" w:rsidP="00325E38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कुलुस्सियों 3:20 — प्रेरित पौलुस बच्चों को क्या सलाह देता है?</w:t>
      </w:r>
    </w:p>
    <w:p w14:paraId="011675B7" w14:textId="53B9A7CB" w:rsidR="00325E38" w:rsidRPr="00325E38" w:rsidRDefault="00325E38" w:rsidP="00AF1375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पालन-पोषण के संबंध में पवित्रशास्त्र में और कौन-सी सलाह मिलती है? व्यवस्थाविवरण 6:6–7, नीतिवचन 22:6, आदि।</w:t>
      </w:r>
    </w:p>
    <w:p w14:paraId="3DAFAF4F" w14:textId="59B4B859" w:rsidR="00325E38" w:rsidRPr="00325E38" w:rsidRDefault="00325E38" w:rsidP="006D1C71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क्या कभी ऐसा समय आता है जब बच्चों को अपने माता-पिता की आज्ञा नहीं माननी चाहिए? प्रेरितों के काम 5:29, नीतिवचन 4:14–15, आदि।</w:t>
      </w:r>
    </w:p>
    <w:p w14:paraId="506B61AB" w14:textId="77777777" w:rsidR="00325E38" w:rsidRPr="00325E38" w:rsidRDefault="00325E38" w:rsidP="00325E38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कुलुस्सियों 3:21 — प्रेरित पौलुस पिताओं को क्या सलाह देता है? (देखें: इफिसियों 6:4)</w:t>
      </w:r>
    </w:p>
    <w:p w14:paraId="3BB7FA14" w14:textId="77777777" w:rsidR="00325E38" w:rsidRDefault="00325E38" w:rsidP="00325E38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किसी ऐसे व्यक्ति (चाहे बच्चा हो या वयस्क) को आप क्या प्रोत्साहन देंगे जो अपने माता-पिता के व्यवहार से हतोत्साहित हो गया हो?</w:t>
      </w:r>
    </w:p>
    <w:p w14:paraId="74641B81" w14:textId="77777777" w:rsidR="00E37A5D" w:rsidRPr="00E37A5D" w:rsidRDefault="00E37A5D" w:rsidP="00E37A5D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5DD8CED" w14:textId="0A784FDB" w:rsidR="00D3718E" w:rsidRPr="00E37A5D" w:rsidRDefault="00325E38" w:rsidP="00325E38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325E38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कार्य</w:t>
      </w:r>
      <w:r w:rsidRPr="00325E38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-</w:t>
      </w:r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स्थल </w:t>
      </w:r>
      <w:r w:rsidRPr="00325E38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संबंध</w:t>
      </w:r>
    </w:p>
    <w:p w14:paraId="3CB7E146" w14:textId="47232F9B" w:rsidR="00325E38" w:rsidRPr="00325E38" w:rsidRDefault="00325E38" w:rsidP="00325E38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कुछ लोग दासत्व की संस्था को प्रेरित पौलुस द्वारा स्वीकार किए जाने से परेशान हो</w:t>
      </w:r>
      <w:r>
        <w:rPr>
          <w:rFonts w:ascii="Nirmala UI" w:hAnsi="Nirmala UI" w:cs="Nirmala UI"/>
          <w:sz w:val="24"/>
          <w:szCs w:val="24"/>
          <w:lang w:val="en-US"/>
        </w:rPr>
        <w:t xml:space="preserve"> जा</w:t>
      </w:r>
      <w:r w:rsidRPr="00325E38">
        <w:rPr>
          <w:rFonts w:ascii="Nirmala UI" w:hAnsi="Nirmala UI" w:cs="Nirmala UI"/>
          <w:sz w:val="24"/>
          <w:szCs w:val="24"/>
          <w:lang w:val="en-US"/>
        </w:rPr>
        <w:t>ते हैं। भगोड़े दास ओनेसिमुस के विषय में फिलेमोन 15–16 में दी गई सलाह से हम क्या सीख सकते हैं?</w:t>
      </w:r>
    </w:p>
    <w:p w14:paraId="3609ABF7" w14:textId="1497F83B" w:rsidR="00325E38" w:rsidRPr="00325E38" w:rsidRDefault="00325E38" w:rsidP="00325E38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कुलुस्सियों 3:22–25 — दासों के लिए प्रेरित पौलुस की सलाह से हम कौन-से सिद्धांत निकाल सकते हैं जो हमारे कार्य-</w:t>
      </w:r>
      <w:r w:rsidRPr="00325E38">
        <w:rPr>
          <w:rFonts w:ascii="Nirmala UI" w:eastAsiaTheme="majorEastAsia" w:hAnsi="Nirmala UI" w:cs="Nirmala UI"/>
          <w:color w:val="000000" w:themeColor="text1"/>
          <w:sz w:val="24"/>
          <w:szCs w:val="24"/>
          <w:lang w:val="en-US"/>
        </w:rPr>
        <w:t xml:space="preserve"> स्थल</w:t>
      </w:r>
      <w:r w:rsidRPr="00325E38">
        <w:rPr>
          <w:rFonts w:ascii="Nirmala UI" w:hAnsi="Nirmala UI" w:cs="Nirmala UI"/>
          <w:sz w:val="24"/>
          <w:szCs w:val="24"/>
          <w:lang w:val="en-US"/>
        </w:rPr>
        <w:t xml:space="preserve"> संबंधों में सहायक हो सकते हैं?</w:t>
      </w:r>
    </w:p>
    <w:p w14:paraId="7ADBAA3E" w14:textId="77777777" w:rsidR="00325E38" w:rsidRDefault="00325E38" w:rsidP="00325E38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325E38">
        <w:rPr>
          <w:rFonts w:ascii="Nirmala UI" w:hAnsi="Nirmala UI" w:cs="Nirmala UI"/>
          <w:sz w:val="24"/>
          <w:szCs w:val="24"/>
          <w:lang w:val="en-US"/>
        </w:rPr>
        <w:t>कुलुस्सियों 4:1 — स्वामियों के लिए प्रेरित पौलुस की सलाह से एक नियोक्ता कौन-से पाठ सीख सकता है? (देखें: इफिसियों 6:5–9)</w:t>
      </w:r>
    </w:p>
    <w:p w14:paraId="3F80257D" w14:textId="77777777" w:rsidR="00E37A5D" w:rsidRPr="00E37A5D" w:rsidRDefault="00E37A5D" w:rsidP="00E37A5D">
      <w:pPr>
        <w:pStyle w:val="Prrafodelista"/>
        <w:spacing w:after="0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D48A398" w14:textId="2ADE9A8B" w:rsidR="00D3718E" w:rsidRPr="00E37A5D" w:rsidRDefault="00A84DFE" w:rsidP="00A84DFE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A84DFE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पारस्परिक</w:t>
      </w:r>
      <w:r w:rsidRPr="00A84DFE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84DFE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संबंध</w:t>
      </w:r>
    </w:p>
    <w:p w14:paraId="6FF34D12" w14:textId="02713CF5" w:rsidR="00A84DFE" w:rsidRPr="00A84DFE" w:rsidRDefault="00A84DFE" w:rsidP="00A84DFE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84DFE">
        <w:rPr>
          <w:rFonts w:ascii="Nirmala UI" w:hAnsi="Nirmala UI" w:cs="Nirmala UI"/>
          <w:sz w:val="24"/>
          <w:szCs w:val="24"/>
          <w:lang w:val="en-US"/>
        </w:rPr>
        <w:t>कुलुस्सियों 4:2–4 — जब हम दूसरों के लिए प्रार्थना करते हैं, तो कौन-</w:t>
      </w:r>
      <w:r>
        <w:rPr>
          <w:rFonts w:ascii="Nirmala UI" w:hAnsi="Nirmala UI" w:cs="Nirmala UI"/>
          <w:sz w:val="24"/>
          <w:szCs w:val="24"/>
          <w:lang w:val="en-US"/>
        </w:rPr>
        <w:t>सी</w:t>
      </w:r>
      <w:r w:rsidRPr="00A84DFE">
        <w:rPr>
          <w:rFonts w:ascii="Nirmala UI" w:hAnsi="Nirmala UI" w:cs="Nirmala UI"/>
          <w:sz w:val="24"/>
          <w:szCs w:val="24"/>
          <w:lang w:val="en-US"/>
        </w:rPr>
        <w:t xml:space="preserve"> आशीषें प्राप्त होती हैं?</w:t>
      </w:r>
    </w:p>
    <w:p w14:paraId="65C6A249" w14:textId="77777777" w:rsidR="00A84DFE" w:rsidRDefault="00A84DFE" w:rsidP="00A84DFE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84DFE">
        <w:rPr>
          <w:rFonts w:ascii="Nirmala UI" w:hAnsi="Nirmala UI" w:cs="Nirmala UI"/>
          <w:sz w:val="24"/>
          <w:szCs w:val="24"/>
          <w:lang w:val="en-US"/>
        </w:rPr>
        <w:t>कुलुस्सियों 4:5–6 — पारस्परिक संबंधों के विषय में प्रेरित पौलुस की प्रेरित सलाह का कौन-सा भाग आपको सबसे अधिक प्रभावित करता है?</w:t>
      </w:r>
    </w:p>
    <w:sectPr w:rsidR="00A84D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084"/>
    <w:multiLevelType w:val="hybridMultilevel"/>
    <w:tmpl w:val="B04AB206"/>
    <w:lvl w:ilvl="0" w:tplc="7006F07E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2069"/>
    <w:multiLevelType w:val="hybridMultilevel"/>
    <w:tmpl w:val="140A3E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D06B6"/>
    <w:multiLevelType w:val="hybridMultilevel"/>
    <w:tmpl w:val="539E60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42807">
    <w:abstractNumId w:val="2"/>
  </w:num>
  <w:num w:numId="2" w16cid:durableId="689259004">
    <w:abstractNumId w:val="6"/>
  </w:num>
  <w:num w:numId="3" w16cid:durableId="1750810415">
    <w:abstractNumId w:val="3"/>
  </w:num>
  <w:num w:numId="4" w16cid:durableId="1542016687">
    <w:abstractNumId w:val="10"/>
  </w:num>
  <w:num w:numId="5" w16cid:durableId="949896658">
    <w:abstractNumId w:val="0"/>
  </w:num>
  <w:num w:numId="6" w16cid:durableId="1930507745">
    <w:abstractNumId w:val="5"/>
  </w:num>
  <w:num w:numId="7" w16cid:durableId="96297201">
    <w:abstractNumId w:val="4"/>
  </w:num>
  <w:num w:numId="8" w16cid:durableId="1826433891">
    <w:abstractNumId w:val="7"/>
  </w:num>
  <w:num w:numId="9" w16cid:durableId="1436170346">
    <w:abstractNumId w:val="1"/>
  </w:num>
  <w:num w:numId="10" w16cid:durableId="722408893">
    <w:abstractNumId w:val="8"/>
  </w:num>
  <w:num w:numId="11" w16cid:durableId="637615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8E"/>
    <w:rsid w:val="001109FA"/>
    <w:rsid w:val="001E38FE"/>
    <w:rsid w:val="00211AC9"/>
    <w:rsid w:val="002F15B6"/>
    <w:rsid w:val="00325E38"/>
    <w:rsid w:val="003E0D59"/>
    <w:rsid w:val="00555C58"/>
    <w:rsid w:val="007B0401"/>
    <w:rsid w:val="00810FAF"/>
    <w:rsid w:val="00914E86"/>
    <w:rsid w:val="009427AA"/>
    <w:rsid w:val="00A84DFE"/>
    <w:rsid w:val="00AE3F44"/>
    <w:rsid w:val="00C125C7"/>
    <w:rsid w:val="00C7028F"/>
    <w:rsid w:val="00D25375"/>
    <w:rsid w:val="00D3240D"/>
    <w:rsid w:val="00D3718E"/>
    <w:rsid w:val="00D908EA"/>
    <w:rsid w:val="00E37A5D"/>
    <w:rsid w:val="00E961D5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1663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2026-02-17T20:29:00Z</dcterms:created>
  <dcterms:modified xsi:type="dcterms:W3CDTF">2026-02-17T20:29:00Z</dcterms:modified>
</cp:coreProperties>
</file>