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D5030" w14:textId="77777777" w:rsidR="002D36A2" w:rsidRPr="005906BE" w:rsidRDefault="002D36A2" w:rsidP="002D36A2">
      <w:pPr>
        <w:pStyle w:val="Prrafodelista"/>
        <w:numPr>
          <w:ilvl w:val="0"/>
          <w:numId w:val="1"/>
        </w:numPr>
        <w:rPr>
          <w:b/>
          <w:bCs/>
          <w:sz w:val="22"/>
        </w:rPr>
      </w:pPr>
      <w:r w:rsidRPr="002D36A2">
        <w:rPr>
          <w:b/>
          <w:bCs/>
          <w:sz w:val="22"/>
          <w:lang w:val="lv-LV"/>
        </w:rPr>
        <w:t>Kas ir  šie divi liecinieki</w:t>
      </w:r>
      <w:r w:rsidRPr="002D36A2">
        <w:rPr>
          <w:b/>
          <w:bCs/>
          <w:sz w:val="22"/>
        </w:rPr>
        <w:t>?</w:t>
      </w:r>
    </w:p>
    <w:p w14:paraId="51A74953" w14:textId="0083B99D" w:rsidR="002D36A2" w:rsidRPr="002D36A2" w:rsidRDefault="002D36A2" w:rsidP="002D36A2">
      <w:pPr>
        <w:pStyle w:val="Prrafodelista"/>
        <w:numPr>
          <w:ilvl w:val="1"/>
          <w:numId w:val="1"/>
        </w:numPr>
        <w:rPr>
          <w:sz w:val="22"/>
          <w:lang w:val="en-US"/>
        </w:rPr>
      </w:pPr>
      <w:r w:rsidRPr="002D36A2">
        <w:rPr>
          <w:bCs/>
          <w:sz w:val="22"/>
          <w:lang w:val="lv-LV"/>
        </w:rPr>
        <w:t>Šo divu eļļas koku un divu lukturu pieminēšana (Atkl.11:4) ved mūs uz atklāsmi, Caharijas 4. nodaļā. Pa olīvkokiem plūst eļļa, kas baro septiņžubur</w:t>
      </w:r>
      <w:r w:rsidR="00EC13DB">
        <w:rPr>
          <w:bCs/>
          <w:sz w:val="22"/>
          <w:lang w:val="lv-LV"/>
        </w:rPr>
        <w:t xml:space="preserve">u </w:t>
      </w:r>
      <w:r w:rsidRPr="002D36A2">
        <w:rPr>
          <w:bCs/>
          <w:sz w:val="22"/>
          <w:lang w:val="lv-LV"/>
        </w:rPr>
        <w:t>lukturi (Cah.4:1-3.12).</w:t>
      </w:r>
    </w:p>
    <w:p w14:paraId="19B4E373" w14:textId="77777777" w:rsidR="002D36A2" w:rsidRPr="002D36A2" w:rsidRDefault="002D36A2" w:rsidP="002D36A2">
      <w:pPr>
        <w:pStyle w:val="Prrafodelista"/>
        <w:numPr>
          <w:ilvl w:val="1"/>
          <w:numId w:val="1"/>
        </w:numPr>
        <w:rPr>
          <w:sz w:val="22"/>
          <w:lang w:val="en-US"/>
        </w:rPr>
      </w:pPr>
      <w:r w:rsidRPr="002D36A2">
        <w:rPr>
          <w:bCs/>
          <w:sz w:val="22"/>
          <w:lang w:val="lv-LV"/>
        </w:rPr>
        <w:t xml:space="preserve">Olīvkoki ir “divi svaidītie”, kas kopā ar diviem lukturiem simbolizē “Tā Kunga Vārdu” (Cah.4:6.14). Tā ir, Vecā un Jaunā Derība. </w:t>
      </w:r>
    </w:p>
    <w:p w14:paraId="3873A0B5" w14:textId="77777777" w:rsidR="002D36A2" w:rsidRPr="002D36A2" w:rsidRDefault="002D36A2" w:rsidP="002D36A2">
      <w:pPr>
        <w:pStyle w:val="Prrafodelista"/>
        <w:numPr>
          <w:ilvl w:val="1"/>
          <w:numId w:val="1"/>
        </w:numPr>
        <w:rPr>
          <w:sz w:val="22"/>
          <w:lang w:val="en-US"/>
        </w:rPr>
      </w:pPr>
      <w:r w:rsidRPr="002D36A2">
        <w:rPr>
          <w:bCs/>
          <w:sz w:val="22"/>
          <w:lang w:val="lv-LV"/>
        </w:rPr>
        <w:t>Izmantojot Mozu un Eliju kā simbolus, Atkl.11. nodaļā par šiem diviem lieciniekiem ir sacīts:</w:t>
      </w:r>
    </w:p>
    <w:p w14:paraId="01314246" w14:textId="50E7C917" w:rsidR="007B27A6" w:rsidRPr="005906BE" w:rsidRDefault="002D36A2" w:rsidP="002D36A2">
      <w:pPr>
        <w:pStyle w:val="Prrafodelista"/>
        <w:numPr>
          <w:ilvl w:val="2"/>
          <w:numId w:val="1"/>
        </w:numPr>
        <w:rPr>
          <w:sz w:val="22"/>
        </w:rPr>
      </w:pPr>
      <w:r w:rsidRPr="002D36A2">
        <w:rPr>
          <w:bCs/>
          <w:sz w:val="22"/>
          <w:u w:val="single"/>
          <w:lang w:val="lv-LV"/>
        </w:rPr>
        <w:t>Tie ir maisos tērpti (3</w:t>
      </w:r>
      <w:r w:rsidRPr="002D36A2">
        <w:rPr>
          <w:bCs/>
          <w:sz w:val="22"/>
          <w:lang w:val="lv-LV"/>
        </w:rPr>
        <w:t xml:space="preserve">); </w:t>
      </w:r>
      <w:r w:rsidR="00EC13DB" w:rsidRPr="002D36A2">
        <w:rPr>
          <w:bCs/>
          <w:sz w:val="22"/>
          <w:lang w:val="lv-LV"/>
        </w:rPr>
        <w:t>Bībele tika saglabāta tumšos viduslaikos</w:t>
      </w:r>
    </w:p>
    <w:p w14:paraId="6EACFD41" w14:textId="7283C14E" w:rsidR="007B27A6" w:rsidRPr="002D36A2" w:rsidRDefault="002D36A2" w:rsidP="002D36A2">
      <w:pPr>
        <w:pStyle w:val="Prrafodelista"/>
        <w:numPr>
          <w:ilvl w:val="2"/>
          <w:numId w:val="1"/>
        </w:numPr>
        <w:rPr>
          <w:sz w:val="22"/>
          <w:lang w:val="en-US"/>
        </w:rPr>
      </w:pPr>
      <w:r w:rsidRPr="002D36A2">
        <w:rPr>
          <w:bCs/>
          <w:sz w:val="22"/>
          <w:u w:val="single"/>
          <w:lang w:val="lv-LV"/>
        </w:rPr>
        <w:t>Tie stāv  Tā Kunga priekšā (4</w:t>
      </w:r>
      <w:r w:rsidRPr="002D36A2">
        <w:rPr>
          <w:bCs/>
          <w:sz w:val="22"/>
          <w:lang w:val="lv-LV"/>
        </w:rPr>
        <w:t xml:space="preserve">); </w:t>
      </w:r>
      <w:r w:rsidR="00EC13DB" w:rsidRPr="002D36A2">
        <w:rPr>
          <w:bCs/>
          <w:sz w:val="22"/>
          <w:lang w:val="lv-LV"/>
        </w:rPr>
        <w:t>Dievs neļāva Savam Vārdam pazust</w:t>
      </w:r>
    </w:p>
    <w:p w14:paraId="3052461B" w14:textId="24164402" w:rsidR="007B27A6" w:rsidRPr="002D36A2" w:rsidRDefault="002D36A2" w:rsidP="002D36A2">
      <w:pPr>
        <w:pStyle w:val="Prrafodelista"/>
        <w:numPr>
          <w:ilvl w:val="2"/>
          <w:numId w:val="1"/>
        </w:numPr>
        <w:rPr>
          <w:sz w:val="22"/>
          <w:lang w:val="en-US"/>
        </w:rPr>
      </w:pPr>
      <w:r w:rsidRPr="002D36A2">
        <w:rPr>
          <w:bCs/>
          <w:sz w:val="22"/>
          <w:u w:val="single"/>
          <w:lang w:val="lv-LV"/>
        </w:rPr>
        <w:t>Ja kāds  gribētu tos aizskart, tad uguns izies no viņu mutēm (5</w:t>
      </w:r>
      <w:r w:rsidRPr="002D36A2">
        <w:rPr>
          <w:bCs/>
          <w:sz w:val="22"/>
          <w:lang w:val="lv-LV"/>
        </w:rPr>
        <w:t xml:space="preserve">); </w:t>
      </w:r>
      <w:r w:rsidR="00EC13DB" w:rsidRPr="002D36A2">
        <w:rPr>
          <w:bCs/>
          <w:sz w:val="22"/>
          <w:lang w:val="lv-LV"/>
        </w:rPr>
        <w:t>Es likšu Savus Vārdus kā uguni, tavā mutē , ka tos “aprīs”  (Jer. 5:14)</w:t>
      </w:r>
    </w:p>
    <w:p w14:paraId="5B628F68" w14:textId="7473347E" w:rsidR="007B27A6" w:rsidRPr="002D36A2" w:rsidRDefault="002D36A2" w:rsidP="002D36A2">
      <w:pPr>
        <w:pStyle w:val="Prrafodelista"/>
        <w:numPr>
          <w:ilvl w:val="2"/>
          <w:numId w:val="1"/>
        </w:numPr>
        <w:rPr>
          <w:sz w:val="22"/>
          <w:lang w:val="en-US"/>
        </w:rPr>
      </w:pPr>
      <w:r w:rsidRPr="002D36A2">
        <w:rPr>
          <w:bCs/>
          <w:sz w:val="22"/>
          <w:u w:val="single"/>
          <w:lang w:val="lv-LV"/>
        </w:rPr>
        <w:t>Tiem ir vara aizslēgt debesis, ka lietus nelītu (6a);</w:t>
      </w:r>
      <w:r>
        <w:rPr>
          <w:bCs/>
          <w:sz w:val="22"/>
          <w:u w:val="single"/>
          <w:lang w:val="lv-LV"/>
        </w:rPr>
        <w:t xml:space="preserve"> </w:t>
      </w:r>
      <w:r w:rsidR="00EC13DB" w:rsidRPr="002D36A2">
        <w:rPr>
          <w:bCs/>
          <w:sz w:val="22"/>
          <w:lang w:val="lv-LV"/>
        </w:rPr>
        <w:t>Kas noraida Sv. Rakstus, tam ir liegta Svētā Gara lietus (eļļa)</w:t>
      </w:r>
    </w:p>
    <w:p w14:paraId="6221BCD8" w14:textId="5B110030" w:rsidR="007B27A6" w:rsidRPr="00867766" w:rsidRDefault="002D36A2" w:rsidP="002D36A2">
      <w:pPr>
        <w:pStyle w:val="Prrafodelista"/>
        <w:numPr>
          <w:ilvl w:val="2"/>
          <w:numId w:val="1"/>
        </w:numPr>
        <w:rPr>
          <w:sz w:val="22"/>
          <w:lang w:val="en-US"/>
        </w:rPr>
      </w:pPr>
      <w:r w:rsidRPr="002D36A2">
        <w:rPr>
          <w:bCs/>
          <w:sz w:val="22"/>
          <w:u w:val="single"/>
          <w:lang w:val="lv-LV"/>
        </w:rPr>
        <w:t>Tiem ir vara pārvērst ūdeni par asinīm un šaust ar mocībām (6b);</w:t>
      </w:r>
      <w:r>
        <w:rPr>
          <w:bCs/>
          <w:sz w:val="22"/>
          <w:u w:val="single"/>
          <w:lang w:val="lv-LV"/>
        </w:rPr>
        <w:t xml:space="preserve"> </w:t>
      </w:r>
      <w:r w:rsidR="00EC13DB" w:rsidRPr="00867766">
        <w:rPr>
          <w:bCs/>
          <w:sz w:val="22"/>
          <w:lang w:val="lv-LV"/>
        </w:rPr>
        <w:t>Tikai tie, kas studēja Bībeli, tika atbrīvoti no viduslaiku sērgas un garīgās tumsas</w:t>
      </w:r>
    </w:p>
    <w:p w14:paraId="6457DD2F" w14:textId="0FB85546" w:rsidR="00D351E5" w:rsidRPr="00A82861" w:rsidRDefault="002D36A2" w:rsidP="00D351E5">
      <w:pPr>
        <w:pStyle w:val="Prrafodelista"/>
        <w:numPr>
          <w:ilvl w:val="0"/>
          <w:numId w:val="1"/>
        </w:numPr>
        <w:rPr>
          <w:b/>
          <w:bCs/>
          <w:sz w:val="22"/>
        </w:rPr>
      </w:pPr>
      <w:r w:rsidRPr="002D36A2">
        <w:rPr>
          <w:b/>
          <w:bCs/>
          <w:sz w:val="22"/>
          <w:lang w:val="lv-LV"/>
        </w:rPr>
        <w:t>Cik ilgi viņi liecināja</w:t>
      </w:r>
      <w:r w:rsidRPr="002D36A2">
        <w:rPr>
          <w:b/>
          <w:bCs/>
          <w:sz w:val="22"/>
        </w:rPr>
        <w:t>?</w:t>
      </w:r>
    </w:p>
    <w:p w14:paraId="0EB24CAE" w14:textId="77777777" w:rsidR="00867766" w:rsidRPr="00867766" w:rsidRDefault="00867766" w:rsidP="00867766">
      <w:pPr>
        <w:pStyle w:val="Prrafodelista"/>
        <w:numPr>
          <w:ilvl w:val="1"/>
          <w:numId w:val="1"/>
        </w:numPr>
        <w:rPr>
          <w:sz w:val="22"/>
        </w:rPr>
      </w:pPr>
      <w:r w:rsidRPr="00867766">
        <w:rPr>
          <w:bCs/>
          <w:sz w:val="22"/>
          <w:lang w:val="lv-LV"/>
        </w:rPr>
        <w:t>Atklāsmes grāmatas 11. nodaļa sākas ar vīziju par debesu svētnīcu un tiem, kas pielūdz pie kvēpināmā altāra (Atkl.11:1).</w:t>
      </w:r>
    </w:p>
    <w:p w14:paraId="69345A84" w14:textId="77777777" w:rsidR="00867766" w:rsidRPr="00867766" w:rsidRDefault="00867766" w:rsidP="00867766">
      <w:pPr>
        <w:pStyle w:val="Prrafodelista"/>
        <w:numPr>
          <w:ilvl w:val="1"/>
          <w:numId w:val="1"/>
        </w:numPr>
        <w:rPr>
          <w:sz w:val="22"/>
        </w:rPr>
      </w:pPr>
      <w:r w:rsidRPr="00867766">
        <w:rPr>
          <w:bCs/>
          <w:sz w:val="22"/>
          <w:lang w:val="lv-LV"/>
        </w:rPr>
        <w:t>Debesu svētnīcas tiesa ir zeme, kur “pagāni” - neticīgie - 42 mēnešus mīdīs “svēto pilsētu” - Dieva tautu (2. p.).</w:t>
      </w:r>
    </w:p>
    <w:p w14:paraId="188179B5" w14:textId="77777777" w:rsidR="00867766" w:rsidRPr="00867766" w:rsidRDefault="00867766" w:rsidP="00867766">
      <w:pPr>
        <w:pStyle w:val="Prrafodelista"/>
        <w:numPr>
          <w:ilvl w:val="1"/>
          <w:numId w:val="1"/>
        </w:numPr>
        <w:rPr>
          <w:sz w:val="22"/>
          <w:lang w:val="en-US"/>
        </w:rPr>
      </w:pPr>
      <w:r w:rsidRPr="00867766">
        <w:rPr>
          <w:bCs/>
          <w:sz w:val="22"/>
          <w:lang w:val="lv-LV"/>
        </w:rPr>
        <w:t>Tajā laikā Dieva Vārds tiks ietērpts “maisos” - lielās grūtībās (3. p.) [42 mēn. x 30 d. = 1260 dienas (pravietojumā 1260 gadi)].</w:t>
      </w:r>
    </w:p>
    <w:p w14:paraId="3A26E2FB" w14:textId="77777777" w:rsidR="00867766" w:rsidRPr="00867766" w:rsidRDefault="00867766" w:rsidP="00867766">
      <w:pPr>
        <w:pStyle w:val="Prrafodelista"/>
        <w:numPr>
          <w:ilvl w:val="1"/>
          <w:numId w:val="1"/>
        </w:numPr>
        <w:rPr>
          <w:sz w:val="22"/>
          <w:lang w:val="lv-LV"/>
        </w:rPr>
      </w:pPr>
      <w:r w:rsidRPr="00867766">
        <w:rPr>
          <w:bCs/>
          <w:sz w:val="22"/>
          <w:lang w:val="lv-LV"/>
        </w:rPr>
        <w:t>Sākot ar 538. gadu, Romas baznīca pamazām sāka uzspiest savas tradīcijas pāri Dieva Vārdam. Pienāca brīdis, kad tika aizliegts lasīt Bībeli. Kas to lasīja  un dzīvoja saskaņā ar patiesību, tika piespriests pat nāvessods.</w:t>
      </w:r>
    </w:p>
    <w:p w14:paraId="00DE82F1" w14:textId="77777777" w:rsidR="00867766" w:rsidRPr="005906BE" w:rsidRDefault="00867766" w:rsidP="00867766">
      <w:pPr>
        <w:pStyle w:val="Prrafodelista"/>
        <w:numPr>
          <w:ilvl w:val="1"/>
          <w:numId w:val="1"/>
        </w:numPr>
        <w:rPr>
          <w:sz w:val="22"/>
        </w:rPr>
      </w:pPr>
      <w:r w:rsidRPr="00867766">
        <w:rPr>
          <w:bCs/>
          <w:sz w:val="22"/>
          <w:lang w:val="lv-LV"/>
        </w:rPr>
        <w:t>Šī perioda beigās reformatori uz brīdi atbrīvojās no vajāšanām (Mat.24:22).</w:t>
      </w:r>
    </w:p>
    <w:p w14:paraId="1E36E086" w14:textId="77777777" w:rsidR="002D36A2" w:rsidRPr="002D36A2" w:rsidRDefault="002D36A2" w:rsidP="002D36A2">
      <w:pPr>
        <w:pStyle w:val="Prrafodelista"/>
        <w:numPr>
          <w:ilvl w:val="0"/>
          <w:numId w:val="1"/>
        </w:numPr>
        <w:rPr>
          <w:b/>
          <w:bCs/>
          <w:sz w:val="22"/>
          <w:lang w:val="en-US"/>
        </w:rPr>
      </w:pPr>
      <w:r w:rsidRPr="002D36A2">
        <w:rPr>
          <w:b/>
          <w:bCs/>
          <w:sz w:val="22"/>
          <w:lang w:val="lv-LV"/>
        </w:rPr>
        <w:t>Kā viņi nomira</w:t>
      </w:r>
      <w:r w:rsidRPr="002D36A2">
        <w:rPr>
          <w:b/>
          <w:bCs/>
          <w:sz w:val="22"/>
        </w:rPr>
        <w:t>?</w:t>
      </w:r>
    </w:p>
    <w:p w14:paraId="120A6BEF" w14:textId="77777777" w:rsidR="00867766" w:rsidRPr="005906BE" w:rsidRDefault="00867766" w:rsidP="00867766">
      <w:pPr>
        <w:pStyle w:val="Prrafodelista"/>
        <w:numPr>
          <w:ilvl w:val="1"/>
          <w:numId w:val="1"/>
        </w:numPr>
        <w:rPr>
          <w:sz w:val="22"/>
        </w:rPr>
      </w:pPr>
      <w:r w:rsidRPr="00867766">
        <w:rPr>
          <w:bCs/>
          <w:sz w:val="22"/>
        </w:rPr>
        <w:t>K</w:t>
      </w:r>
      <w:r w:rsidRPr="00867766">
        <w:rPr>
          <w:bCs/>
          <w:sz w:val="22"/>
          <w:lang w:val="lv-LV"/>
        </w:rPr>
        <w:t xml:space="preserve">āda </w:t>
      </w:r>
      <w:r w:rsidRPr="00867766">
        <w:rPr>
          <w:bCs/>
          <w:sz w:val="22"/>
        </w:rPr>
        <w:t xml:space="preserve">vara </w:t>
      </w:r>
      <w:proofErr w:type="spellStart"/>
      <w:r w:rsidRPr="00867766">
        <w:rPr>
          <w:bCs/>
          <w:sz w:val="22"/>
        </w:rPr>
        <w:t>radās</w:t>
      </w:r>
      <w:proofErr w:type="spellEnd"/>
      <w:r w:rsidRPr="00867766">
        <w:rPr>
          <w:bCs/>
          <w:sz w:val="22"/>
        </w:rPr>
        <w:t xml:space="preserve"> 1260 </w:t>
      </w:r>
      <w:proofErr w:type="spellStart"/>
      <w:r w:rsidRPr="00867766">
        <w:rPr>
          <w:bCs/>
          <w:sz w:val="22"/>
        </w:rPr>
        <w:t>gadu</w:t>
      </w:r>
      <w:proofErr w:type="spellEnd"/>
      <w:r w:rsidRPr="00867766">
        <w:rPr>
          <w:bCs/>
          <w:sz w:val="22"/>
        </w:rPr>
        <w:t xml:space="preserve"> </w:t>
      </w:r>
      <w:proofErr w:type="spellStart"/>
      <w:r w:rsidRPr="00867766">
        <w:rPr>
          <w:bCs/>
          <w:sz w:val="22"/>
        </w:rPr>
        <w:t>beigās</w:t>
      </w:r>
      <w:proofErr w:type="spellEnd"/>
      <w:r w:rsidRPr="00867766">
        <w:rPr>
          <w:bCs/>
          <w:sz w:val="22"/>
        </w:rPr>
        <w:t xml:space="preserve">, t. i., </w:t>
      </w:r>
      <w:proofErr w:type="spellStart"/>
      <w:r w:rsidRPr="00867766">
        <w:rPr>
          <w:bCs/>
          <w:sz w:val="22"/>
        </w:rPr>
        <w:t>ap</w:t>
      </w:r>
      <w:proofErr w:type="spellEnd"/>
      <w:r w:rsidRPr="00867766">
        <w:rPr>
          <w:bCs/>
          <w:sz w:val="22"/>
        </w:rPr>
        <w:t xml:space="preserve"> 1798. </w:t>
      </w:r>
      <w:proofErr w:type="spellStart"/>
      <w:r w:rsidRPr="00867766">
        <w:rPr>
          <w:bCs/>
          <w:sz w:val="22"/>
        </w:rPr>
        <w:t>gadu</w:t>
      </w:r>
      <w:proofErr w:type="spellEnd"/>
      <w:r w:rsidRPr="00867766">
        <w:rPr>
          <w:bCs/>
          <w:sz w:val="22"/>
        </w:rPr>
        <w:t>?</w:t>
      </w:r>
    </w:p>
    <w:p w14:paraId="34DB7309" w14:textId="77777777" w:rsidR="00867766" w:rsidRPr="00867766" w:rsidRDefault="00867766" w:rsidP="00867766">
      <w:pPr>
        <w:pStyle w:val="Prrafodelista"/>
        <w:numPr>
          <w:ilvl w:val="1"/>
          <w:numId w:val="1"/>
        </w:numPr>
        <w:rPr>
          <w:sz w:val="22"/>
          <w:lang w:val="en-US"/>
        </w:rPr>
      </w:pPr>
      <w:r w:rsidRPr="00867766">
        <w:rPr>
          <w:bCs/>
          <w:sz w:val="22"/>
          <w:lang w:val="lv-LV"/>
        </w:rPr>
        <w:t>Francijas revolūcija, sākās 1789. gadā, radīja saukto “teroristisku varu” (1793-1794), skaidri parādīja, kas stāv aiz šīs varas: sātans un viņa dēmoni. Šī vara ir minēta trīs veidos (Atkl. 11:8):</w:t>
      </w:r>
    </w:p>
    <w:p w14:paraId="5800BE4F" w14:textId="77777777" w:rsidR="007B27A6" w:rsidRPr="005906BE" w:rsidRDefault="00EC13DB" w:rsidP="00867766">
      <w:pPr>
        <w:pStyle w:val="Prrafodelista"/>
        <w:numPr>
          <w:ilvl w:val="2"/>
          <w:numId w:val="1"/>
        </w:numPr>
        <w:rPr>
          <w:sz w:val="22"/>
        </w:rPr>
      </w:pPr>
      <w:r w:rsidRPr="00867766">
        <w:rPr>
          <w:bCs/>
          <w:iCs/>
          <w:sz w:val="22"/>
          <w:u w:val="single"/>
        </w:rPr>
        <w:t>Sodoma:</w:t>
      </w:r>
      <w:r w:rsidRPr="00867766">
        <w:rPr>
          <w:bCs/>
          <w:iCs/>
          <w:sz w:val="22"/>
        </w:rPr>
        <w:t xml:space="preserve"> </w:t>
      </w:r>
      <w:r w:rsidRPr="00867766">
        <w:rPr>
          <w:bCs/>
          <w:iCs/>
          <w:sz w:val="22"/>
          <w:lang w:val="lv-LV"/>
        </w:rPr>
        <w:t xml:space="preserve"> </w:t>
      </w:r>
      <w:r w:rsidRPr="00867766">
        <w:rPr>
          <w:bCs/>
          <w:sz w:val="22"/>
          <w:lang w:val="lv-LV"/>
        </w:rPr>
        <w:t>Revolūcija aizsāka lielu amoralitātes periodu</w:t>
      </w:r>
    </w:p>
    <w:p w14:paraId="2F91CC1E" w14:textId="5D14892A" w:rsidR="007B27A6" w:rsidRPr="005906BE" w:rsidRDefault="00867766" w:rsidP="00867766">
      <w:pPr>
        <w:pStyle w:val="Prrafodelista"/>
        <w:numPr>
          <w:ilvl w:val="2"/>
          <w:numId w:val="1"/>
        </w:numPr>
        <w:rPr>
          <w:sz w:val="22"/>
        </w:rPr>
      </w:pPr>
      <w:r w:rsidRPr="005906BE">
        <w:rPr>
          <w:bCs/>
          <w:iCs/>
          <w:sz w:val="22"/>
          <w:u w:val="single"/>
        </w:rPr>
        <w:t>Ē</w:t>
      </w:r>
      <w:r w:rsidR="00EC13DB" w:rsidRPr="00867766">
        <w:rPr>
          <w:bCs/>
          <w:iCs/>
          <w:sz w:val="22"/>
          <w:u w:val="single"/>
          <w:lang w:val="lv-LV"/>
        </w:rPr>
        <w:t>ģ</w:t>
      </w:r>
      <w:proofErr w:type="spellStart"/>
      <w:r w:rsidR="00EC13DB" w:rsidRPr="00867766">
        <w:rPr>
          <w:bCs/>
          <w:iCs/>
          <w:sz w:val="22"/>
          <w:u w:val="single"/>
        </w:rPr>
        <w:t>ipt</w:t>
      </w:r>
      <w:proofErr w:type="spellEnd"/>
      <w:r w:rsidR="00EC13DB" w:rsidRPr="00867766">
        <w:rPr>
          <w:bCs/>
          <w:iCs/>
          <w:sz w:val="22"/>
          <w:u w:val="single"/>
          <w:lang w:val="lv-LV"/>
        </w:rPr>
        <w:t>e</w:t>
      </w:r>
      <w:r w:rsidR="00EC13DB" w:rsidRPr="00867766">
        <w:rPr>
          <w:bCs/>
          <w:iCs/>
          <w:sz w:val="22"/>
          <w:u w:val="single"/>
        </w:rPr>
        <w:t>:</w:t>
      </w:r>
      <w:r w:rsidR="00EC13DB" w:rsidRPr="00867766">
        <w:rPr>
          <w:bCs/>
          <w:iCs/>
          <w:sz w:val="22"/>
        </w:rPr>
        <w:t xml:space="preserve"> </w:t>
      </w:r>
      <w:r w:rsidR="00EC13DB" w:rsidRPr="00867766">
        <w:rPr>
          <w:bCs/>
          <w:sz w:val="22"/>
          <w:lang w:val="lv-LV"/>
        </w:rPr>
        <w:t>Ateistiska valsts (2.Moz.5:2), viņi neiebilda pielūgt “prāta dievieti” (2.Moz.5:2)</w:t>
      </w:r>
    </w:p>
    <w:p w14:paraId="07507890" w14:textId="77777777" w:rsidR="007B27A6" w:rsidRPr="00867766" w:rsidRDefault="00EC13DB" w:rsidP="00867766">
      <w:pPr>
        <w:pStyle w:val="Prrafodelista"/>
        <w:numPr>
          <w:ilvl w:val="2"/>
          <w:numId w:val="1"/>
        </w:numPr>
        <w:rPr>
          <w:sz w:val="22"/>
          <w:lang w:val="en-US"/>
        </w:rPr>
      </w:pPr>
      <w:r w:rsidRPr="00867766">
        <w:rPr>
          <w:bCs/>
          <w:iCs/>
          <w:sz w:val="22"/>
          <w:u w:val="single"/>
          <w:lang w:val="lv-LV"/>
        </w:rPr>
        <w:t>Kur Jēzus  tika sists krustā</w:t>
      </w:r>
      <w:r w:rsidRPr="005906BE">
        <w:rPr>
          <w:bCs/>
          <w:iCs/>
          <w:sz w:val="22"/>
          <w:u w:val="single"/>
          <w:lang w:val="en-US"/>
        </w:rPr>
        <w:t>:</w:t>
      </w:r>
      <w:r w:rsidRPr="005906BE">
        <w:rPr>
          <w:bCs/>
          <w:iCs/>
          <w:sz w:val="22"/>
          <w:lang w:val="en-US"/>
        </w:rPr>
        <w:t xml:space="preserve"> </w:t>
      </w:r>
      <w:r w:rsidRPr="00867766">
        <w:rPr>
          <w:bCs/>
          <w:sz w:val="22"/>
          <w:lang w:val="lv-LV"/>
        </w:rPr>
        <w:t>Jēzus upuris tika noraidīts</w:t>
      </w:r>
    </w:p>
    <w:p w14:paraId="426F45AE" w14:textId="77777777" w:rsidR="002D36A2" w:rsidRPr="005906BE" w:rsidRDefault="002D36A2" w:rsidP="002D36A2">
      <w:pPr>
        <w:pStyle w:val="Prrafodelista"/>
        <w:numPr>
          <w:ilvl w:val="0"/>
          <w:numId w:val="1"/>
        </w:numPr>
        <w:rPr>
          <w:b/>
          <w:bCs/>
          <w:sz w:val="22"/>
          <w:lang w:val="en-US"/>
        </w:rPr>
      </w:pPr>
      <w:r w:rsidRPr="002D36A2">
        <w:rPr>
          <w:b/>
          <w:bCs/>
          <w:sz w:val="22"/>
          <w:lang w:val="lv-LV"/>
        </w:rPr>
        <w:t>Kā viņi augšāmcēlās un uzkāpa debesīs</w:t>
      </w:r>
      <w:r w:rsidRPr="005906BE">
        <w:rPr>
          <w:b/>
          <w:bCs/>
          <w:sz w:val="22"/>
          <w:lang w:val="en-US"/>
        </w:rPr>
        <w:t>?</w:t>
      </w:r>
    </w:p>
    <w:p w14:paraId="480EF720" w14:textId="29E3C68A" w:rsidR="00867766" w:rsidRPr="00867766" w:rsidRDefault="00867766" w:rsidP="00867766">
      <w:pPr>
        <w:pStyle w:val="Prrafodelista"/>
        <w:numPr>
          <w:ilvl w:val="1"/>
          <w:numId w:val="1"/>
        </w:numPr>
        <w:rPr>
          <w:sz w:val="22"/>
          <w:lang w:val="lv-LV"/>
        </w:rPr>
      </w:pPr>
      <w:r w:rsidRPr="00867766">
        <w:rPr>
          <w:bCs/>
          <w:sz w:val="22"/>
          <w:lang w:val="lv-LV"/>
        </w:rPr>
        <w:t xml:space="preserve">1793. gada 26. novembrī Parīzē tika izdots dekrēts par reliģijas atcelšanu. Šo dekrētu anulēja 1797. gada 17. jūnijā. </w:t>
      </w:r>
      <w:r w:rsidR="00B62A28" w:rsidRPr="00867766">
        <w:rPr>
          <w:bCs/>
          <w:sz w:val="22"/>
          <w:lang w:val="lv-LV"/>
        </w:rPr>
        <w:t>Trīsarpus</w:t>
      </w:r>
      <w:r w:rsidRPr="00867766">
        <w:rPr>
          <w:bCs/>
          <w:sz w:val="22"/>
          <w:lang w:val="lv-LV"/>
        </w:rPr>
        <w:t xml:space="preserve"> gadu laikā Francija priecājās, ka tā ir “atbrīvota” no reliģijas tirānijas un, ka Bībeles balss ir apklususi (Atkl.11:9-10).</w:t>
      </w:r>
    </w:p>
    <w:p w14:paraId="012B4EEF" w14:textId="77777777" w:rsidR="00867766" w:rsidRPr="00867766" w:rsidRDefault="00867766" w:rsidP="00867766">
      <w:pPr>
        <w:pStyle w:val="Prrafodelista"/>
        <w:numPr>
          <w:ilvl w:val="1"/>
          <w:numId w:val="1"/>
        </w:numPr>
        <w:rPr>
          <w:sz w:val="22"/>
          <w:lang w:val="en-US"/>
        </w:rPr>
      </w:pPr>
      <w:r w:rsidRPr="00867766">
        <w:rPr>
          <w:bCs/>
          <w:sz w:val="22"/>
          <w:lang w:val="lv-LV"/>
        </w:rPr>
        <w:t>Tā vietā, lai Bībele tiktu apklusināta vai iznīcināta, tā cēlās vēl spēcīgāka nekā iepriekš. Protestantu misijas nesa evaņģēlija vēsti līdz zemes galiem (Atkl.11:11).</w:t>
      </w:r>
    </w:p>
    <w:p w14:paraId="757FE529" w14:textId="77777777" w:rsidR="00867766" w:rsidRPr="005906BE" w:rsidRDefault="00867766" w:rsidP="00867766">
      <w:pPr>
        <w:pStyle w:val="Prrafodelista"/>
        <w:numPr>
          <w:ilvl w:val="1"/>
          <w:numId w:val="1"/>
        </w:numPr>
        <w:rPr>
          <w:sz w:val="22"/>
          <w:lang w:val="lv-LV"/>
        </w:rPr>
      </w:pPr>
      <w:r w:rsidRPr="00867766">
        <w:rPr>
          <w:bCs/>
          <w:sz w:val="22"/>
          <w:lang w:val="lv-LV"/>
        </w:rPr>
        <w:t>Viljams Vilberforss 1804. gadā nodibināja pirmo Bībeles biedrību, lai masveidā izplatītu Bībeles. Bībeles eksemplāri vairojās tūkstošiem, līdz tā kļuva par pasaulē visvairāk pārdoto grāmatu. Šodien Dieva Vārda izplatīšana ir neapturama. Dievs to ir novietojis tādā situācijā, ka neviens vairs nevar to iznīcināt (Atkl.11:12).</w:t>
      </w:r>
    </w:p>
    <w:p w14:paraId="6CF2CB3C" w14:textId="77777777" w:rsidR="002D36A2" w:rsidRPr="002D36A2" w:rsidRDefault="002D36A2" w:rsidP="002D36A2">
      <w:pPr>
        <w:pStyle w:val="Prrafodelista"/>
        <w:numPr>
          <w:ilvl w:val="0"/>
          <w:numId w:val="1"/>
        </w:numPr>
        <w:rPr>
          <w:b/>
          <w:bCs/>
          <w:sz w:val="22"/>
          <w:lang w:val="en-US"/>
        </w:rPr>
      </w:pPr>
      <w:r w:rsidRPr="002D36A2">
        <w:rPr>
          <w:b/>
          <w:bCs/>
          <w:sz w:val="22"/>
          <w:lang w:val="lv-LV"/>
        </w:rPr>
        <w:t>Kas notika pēc tam?</w:t>
      </w:r>
    </w:p>
    <w:p w14:paraId="7E0D647D" w14:textId="77777777" w:rsidR="00EC13DB" w:rsidRPr="00EC13DB" w:rsidRDefault="00EC13DB" w:rsidP="00EC13DB">
      <w:pPr>
        <w:pStyle w:val="Prrafodelista"/>
        <w:numPr>
          <w:ilvl w:val="1"/>
          <w:numId w:val="1"/>
        </w:numPr>
        <w:rPr>
          <w:sz w:val="22"/>
          <w:lang w:val="en-US"/>
        </w:rPr>
      </w:pPr>
      <w:r w:rsidRPr="00EC13DB">
        <w:rPr>
          <w:bCs/>
          <w:sz w:val="22"/>
          <w:lang w:val="lv-LV"/>
        </w:rPr>
        <w:t>No abu liecinieku “augšāmcelšanās” sākas kosmiskā konflikta pēdējā nodaļa - beigu laiks.</w:t>
      </w:r>
    </w:p>
    <w:p w14:paraId="62D50A11" w14:textId="77777777" w:rsidR="00EC13DB" w:rsidRPr="00EC13DB" w:rsidRDefault="00EC13DB" w:rsidP="00EC13DB">
      <w:pPr>
        <w:pStyle w:val="Prrafodelista"/>
        <w:numPr>
          <w:ilvl w:val="1"/>
          <w:numId w:val="1"/>
        </w:numPr>
        <w:rPr>
          <w:sz w:val="22"/>
          <w:lang w:val="en-US"/>
        </w:rPr>
      </w:pPr>
      <w:r w:rsidRPr="00EC13DB">
        <w:rPr>
          <w:bCs/>
          <w:sz w:val="22"/>
          <w:lang w:val="lv-LV"/>
        </w:rPr>
        <w:t>Šis laiks sasniegs kulmināciju otrajā atnākšanā, kad visas valstis kļūs par Jēzus īpašumu un Viņš valdīs mūžīgi (Atkl.11:15).</w:t>
      </w:r>
    </w:p>
    <w:p w14:paraId="21F0155B" w14:textId="77777777" w:rsidR="00EC13DB" w:rsidRPr="00EC13DB" w:rsidRDefault="00EC13DB" w:rsidP="00EC13DB">
      <w:pPr>
        <w:pStyle w:val="Prrafodelista"/>
        <w:numPr>
          <w:ilvl w:val="1"/>
          <w:numId w:val="1"/>
        </w:numPr>
        <w:rPr>
          <w:sz w:val="22"/>
          <w:lang w:val="en-US"/>
        </w:rPr>
      </w:pPr>
      <w:r w:rsidRPr="00EC13DB">
        <w:rPr>
          <w:bCs/>
          <w:sz w:val="22"/>
          <w:lang w:val="lv-LV"/>
        </w:rPr>
        <w:t>Pirms šī laika , tautas iedegsies dusmās, un viss beigsies ar to, ka tiks iznīcināti “tie, kas zemi maitāja” (Atkl.11:18).</w:t>
      </w:r>
    </w:p>
    <w:p w14:paraId="126FFC1C" w14:textId="77777777" w:rsidR="00EC13DB" w:rsidRPr="00EC13DB" w:rsidRDefault="00EC13DB" w:rsidP="00EC13DB">
      <w:pPr>
        <w:pStyle w:val="Prrafodelista"/>
        <w:numPr>
          <w:ilvl w:val="1"/>
          <w:numId w:val="1"/>
        </w:numPr>
        <w:rPr>
          <w:sz w:val="22"/>
          <w:lang w:val="en-US"/>
        </w:rPr>
      </w:pPr>
      <w:r w:rsidRPr="00EC13DB">
        <w:rPr>
          <w:bCs/>
          <w:sz w:val="22"/>
          <w:lang w:val="lv-LV"/>
        </w:rPr>
        <w:t>Visi šie notikumi notiek debesu dievkalpojuma kontekstā (Atkl.11:16-17), un kulminācija, ka Debesīs atvērās Dieva debesu svētnīca un tika redzams derības šķirsts (Atkl.11:19).</w:t>
      </w:r>
    </w:p>
    <w:p w14:paraId="6D276C8D" w14:textId="073F9267" w:rsidR="00EC13DB" w:rsidRPr="00EC13DB" w:rsidRDefault="00EC13DB" w:rsidP="00EC13DB">
      <w:pPr>
        <w:pStyle w:val="Prrafodelista"/>
        <w:numPr>
          <w:ilvl w:val="1"/>
          <w:numId w:val="1"/>
        </w:numPr>
        <w:rPr>
          <w:sz w:val="22"/>
          <w:lang w:val="en-US"/>
        </w:rPr>
      </w:pPr>
      <w:r w:rsidRPr="00EC13DB">
        <w:rPr>
          <w:bCs/>
          <w:sz w:val="22"/>
          <w:lang w:val="lv-LV"/>
        </w:rPr>
        <w:t>Tad atnāca "Tava dusmības un tiesas stunda” (Atkl.11:18), pasaules priekšā tiek parādīts tiesas standarts - desmit baušļi, kas atrodas derības šķirstā.</w:t>
      </w:r>
    </w:p>
    <w:sectPr w:rsidR="00EC13DB" w:rsidRPr="00EC13DB" w:rsidSect="007378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8419EC"/>
    <w:multiLevelType w:val="hybridMultilevel"/>
    <w:tmpl w:val="46628CB0"/>
    <w:lvl w:ilvl="0" w:tplc="ABB24744">
      <w:start w:val="1"/>
      <w:numFmt w:val="bullet"/>
      <w:lvlText w:val="•"/>
      <w:lvlJc w:val="left"/>
      <w:pPr>
        <w:tabs>
          <w:tab w:val="num" w:pos="720"/>
        </w:tabs>
        <w:ind w:left="720" w:hanging="360"/>
      </w:pPr>
      <w:rPr>
        <w:rFonts w:ascii="Times New Roman" w:hAnsi="Times New Roman" w:hint="default"/>
      </w:rPr>
    </w:lvl>
    <w:lvl w:ilvl="1" w:tplc="7166B0D0" w:tentative="1">
      <w:start w:val="1"/>
      <w:numFmt w:val="bullet"/>
      <w:lvlText w:val="•"/>
      <w:lvlJc w:val="left"/>
      <w:pPr>
        <w:tabs>
          <w:tab w:val="num" w:pos="1440"/>
        </w:tabs>
        <w:ind w:left="1440" w:hanging="360"/>
      </w:pPr>
      <w:rPr>
        <w:rFonts w:ascii="Times New Roman" w:hAnsi="Times New Roman" w:hint="default"/>
      </w:rPr>
    </w:lvl>
    <w:lvl w:ilvl="2" w:tplc="C9705438" w:tentative="1">
      <w:start w:val="1"/>
      <w:numFmt w:val="bullet"/>
      <w:lvlText w:val="•"/>
      <w:lvlJc w:val="left"/>
      <w:pPr>
        <w:tabs>
          <w:tab w:val="num" w:pos="2160"/>
        </w:tabs>
        <w:ind w:left="2160" w:hanging="360"/>
      </w:pPr>
      <w:rPr>
        <w:rFonts w:ascii="Times New Roman" w:hAnsi="Times New Roman" w:hint="default"/>
      </w:rPr>
    </w:lvl>
    <w:lvl w:ilvl="3" w:tplc="53B6CCDA" w:tentative="1">
      <w:start w:val="1"/>
      <w:numFmt w:val="bullet"/>
      <w:lvlText w:val="•"/>
      <w:lvlJc w:val="left"/>
      <w:pPr>
        <w:tabs>
          <w:tab w:val="num" w:pos="2880"/>
        </w:tabs>
        <w:ind w:left="2880" w:hanging="360"/>
      </w:pPr>
      <w:rPr>
        <w:rFonts w:ascii="Times New Roman" w:hAnsi="Times New Roman" w:hint="default"/>
      </w:rPr>
    </w:lvl>
    <w:lvl w:ilvl="4" w:tplc="80E086AE" w:tentative="1">
      <w:start w:val="1"/>
      <w:numFmt w:val="bullet"/>
      <w:lvlText w:val="•"/>
      <w:lvlJc w:val="left"/>
      <w:pPr>
        <w:tabs>
          <w:tab w:val="num" w:pos="3600"/>
        </w:tabs>
        <w:ind w:left="3600" w:hanging="360"/>
      </w:pPr>
      <w:rPr>
        <w:rFonts w:ascii="Times New Roman" w:hAnsi="Times New Roman" w:hint="default"/>
      </w:rPr>
    </w:lvl>
    <w:lvl w:ilvl="5" w:tplc="259089AE" w:tentative="1">
      <w:start w:val="1"/>
      <w:numFmt w:val="bullet"/>
      <w:lvlText w:val="•"/>
      <w:lvlJc w:val="left"/>
      <w:pPr>
        <w:tabs>
          <w:tab w:val="num" w:pos="4320"/>
        </w:tabs>
        <w:ind w:left="4320" w:hanging="360"/>
      </w:pPr>
      <w:rPr>
        <w:rFonts w:ascii="Times New Roman" w:hAnsi="Times New Roman" w:hint="default"/>
      </w:rPr>
    </w:lvl>
    <w:lvl w:ilvl="6" w:tplc="74B82966" w:tentative="1">
      <w:start w:val="1"/>
      <w:numFmt w:val="bullet"/>
      <w:lvlText w:val="•"/>
      <w:lvlJc w:val="left"/>
      <w:pPr>
        <w:tabs>
          <w:tab w:val="num" w:pos="5040"/>
        </w:tabs>
        <w:ind w:left="5040" w:hanging="360"/>
      </w:pPr>
      <w:rPr>
        <w:rFonts w:ascii="Times New Roman" w:hAnsi="Times New Roman" w:hint="default"/>
      </w:rPr>
    </w:lvl>
    <w:lvl w:ilvl="7" w:tplc="B344D3F0" w:tentative="1">
      <w:start w:val="1"/>
      <w:numFmt w:val="bullet"/>
      <w:lvlText w:val="•"/>
      <w:lvlJc w:val="left"/>
      <w:pPr>
        <w:tabs>
          <w:tab w:val="num" w:pos="5760"/>
        </w:tabs>
        <w:ind w:left="5760" w:hanging="360"/>
      </w:pPr>
      <w:rPr>
        <w:rFonts w:ascii="Times New Roman" w:hAnsi="Times New Roman" w:hint="default"/>
      </w:rPr>
    </w:lvl>
    <w:lvl w:ilvl="8" w:tplc="5B703E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A167E64"/>
    <w:multiLevelType w:val="hybridMultilevel"/>
    <w:tmpl w:val="226E40B2"/>
    <w:lvl w:ilvl="0" w:tplc="6D46920E">
      <w:start w:val="1"/>
      <w:numFmt w:val="bullet"/>
      <w:lvlText w:val="•"/>
      <w:lvlJc w:val="left"/>
      <w:pPr>
        <w:tabs>
          <w:tab w:val="num" w:pos="720"/>
        </w:tabs>
        <w:ind w:left="720" w:hanging="360"/>
      </w:pPr>
      <w:rPr>
        <w:rFonts w:ascii="Times New Roman" w:hAnsi="Times New Roman" w:hint="default"/>
      </w:rPr>
    </w:lvl>
    <w:lvl w:ilvl="1" w:tplc="9AE4B302">
      <w:start w:val="1519"/>
      <w:numFmt w:val="bullet"/>
      <w:lvlText w:val="•"/>
      <w:lvlJc w:val="left"/>
      <w:pPr>
        <w:tabs>
          <w:tab w:val="num" w:pos="1440"/>
        </w:tabs>
        <w:ind w:left="1440" w:hanging="360"/>
      </w:pPr>
      <w:rPr>
        <w:rFonts w:ascii="Times New Roman" w:hAnsi="Times New Roman" w:hint="default"/>
      </w:rPr>
    </w:lvl>
    <w:lvl w:ilvl="2" w:tplc="E654E038" w:tentative="1">
      <w:start w:val="1"/>
      <w:numFmt w:val="bullet"/>
      <w:lvlText w:val="•"/>
      <w:lvlJc w:val="left"/>
      <w:pPr>
        <w:tabs>
          <w:tab w:val="num" w:pos="2160"/>
        </w:tabs>
        <w:ind w:left="2160" w:hanging="360"/>
      </w:pPr>
      <w:rPr>
        <w:rFonts w:ascii="Times New Roman" w:hAnsi="Times New Roman" w:hint="default"/>
      </w:rPr>
    </w:lvl>
    <w:lvl w:ilvl="3" w:tplc="4328D6EC" w:tentative="1">
      <w:start w:val="1"/>
      <w:numFmt w:val="bullet"/>
      <w:lvlText w:val="•"/>
      <w:lvlJc w:val="left"/>
      <w:pPr>
        <w:tabs>
          <w:tab w:val="num" w:pos="2880"/>
        </w:tabs>
        <w:ind w:left="2880" w:hanging="360"/>
      </w:pPr>
      <w:rPr>
        <w:rFonts w:ascii="Times New Roman" w:hAnsi="Times New Roman" w:hint="default"/>
      </w:rPr>
    </w:lvl>
    <w:lvl w:ilvl="4" w:tplc="DE4CA260" w:tentative="1">
      <w:start w:val="1"/>
      <w:numFmt w:val="bullet"/>
      <w:lvlText w:val="•"/>
      <w:lvlJc w:val="left"/>
      <w:pPr>
        <w:tabs>
          <w:tab w:val="num" w:pos="3600"/>
        </w:tabs>
        <w:ind w:left="3600" w:hanging="360"/>
      </w:pPr>
      <w:rPr>
        <w:rFonts w:ascii="Times New Roman" w:hAnsi="Times New Roman" w:hint="default"/>
      </w:rPr>
    </w:lvl>
    <w:lvl w:ilvl="5" w:tplc="ED9AC3AE" w:tentative="1">
      <w:start w:val="1"/>
      <w:numFmt w:val="bullet"/>
      <w:lvlText w:val="•"/>
      <w:lvlJc w:val="left"/>
      <w:pPr>
        <w:tabs>
          <w:tab w:val="num" w:pos="4320"/>
        </w:tabs>
        <w:ind w:left="4320" w:hanging="360"/>
      </w:pPr>
      <w:rPr>
        <w:rFonts w:ascii="Times New Roman" w:hAnsi="Times New Roman" w:hint="default"/>
      </w:rPr>
    </w:lvl>
    <w:lvl w:ilvl="6" w:tplc="A3FEC572" w:tentative="1">
      <w:start w:val="1"/>
      <w:numFmt w:val="bullet"/>
      <w:lvlText w:val="•"/>
      <w:lvlJc w:val="left"/>
      <w:pPr>
        <w:tabs>
          <w:tab w:val="num" w:pos="5040"/>
        </w:tabs>
        <w:ind w:left="5040" w:hanging="360"/>
      </w:pPr>
      <w:rPr>
        <w:rFonts w:ascii="Times New Roman" w:hAnsi="Times New Roman" w:hint="default"/>
      </w:rPr>
    </w:lvl>
    <w:lvl w:ilvl="7" w:tplc="5688F6F8" w:tentative="1">
      <w:start w:val="1"/>
      <w:numFmt w:val="bullet"/>
      <w:lvlText w:val="•"/>
      <w:lvlJc w:val="left"/>
      <w:pPr>
        <w:tabs>
          <w:tab w:val="num" w:pos="5760"/>
        </w:tabs>
        <w:ind w:left="5760" w:hanging="360"/>
      </w:pPr>
      <w:rPr>
        <w:rFonts w:ascii="Times New Roman" w:hAnsi="Times New Roman" w:hint="default"/>
      </w:rPr>
    </w:lvl>
    <w:lvl w:ilvl="8" w:tplc="1F428C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DB72563"/>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25084448">
    <w:abstractNumId w:val="2"/>
  </w:num>
  <w:num w:numId="2" w16cid:durableId="569966844">
    <w:abstractNumId w:val="1"/>
  </w:num>
  <w:num w:numId="3" w16cid:durableId="14047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E5"/>
    <w:rsid w:val="001E4AA8"/>
    <w:rsid w:val="002D36A2"/>
    <w:rsid w:val="003036B8"/>
    <w:rsid w:val="00395C43"/>
    <w:rsid w:val="004D5CB2"/>
    <w:rsid w:val="005906BE"/>
    <w:rsid w:val="00670815"/>
    <w:rsid w:val="006B0E2E"/>
    <w:rsid w:val="006B286A"/>
    <w:rsid w:val="00737812"/>
    <w:rsid w:val="007B27A6"/>
    <w:rsid w:val="00867766"/>
    <w:rsid w:val="00A261F9"/>
    <w:rsid w:val="00A82861"/>
    <w:rsid w:val="00B62A28"/>
    <w:rsid w:val="00BA3EAE"/>
    <w:rsid w:val="00BB45E2"/>
    <w:rsid w:val="00C46A68"/>
    <w:rsid w:val="00D351E5"/>
    <w:rsid w:val="00EC13DB"/>
    <w:rsid w:val="00F810E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5468"/>
  <w15:docId w15:val="{2524C6A4-ABB6-471B-AF42-479A61D2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351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351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351E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351E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351E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351E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351E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351E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351E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351E5"/>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351E5"/>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351E5"/>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351E5"/>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351E5"/>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351E5"/>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351E5"/>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351E5"/>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351E5"/>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351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351E5"/>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351E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351E5"/>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351E5"/>
    <w:pPr>
      <w:spacing w:before="160"/>
      <w:jc w:val="center"/>
    </w:pPr>
    <w:rPr>
      <w:i/>
      <w:iCs/>
      <w:color w:val="404040" w:themeColor="text1" w:themeTint="BF"/>
    </w:rPr>
  </w:style>
  <w:style w:type="character" w:customStyle="1" w:styleId="CitaCar">
    <w:name w:val="Cita Car"/>
    <w:basedOn w:val="Fuentedeprrafopredeter"/>
    <w:link w:val="Cita"/>
    <w:uiPriority w:val="29"/>
    <w:rsid w:val="00D351E5"/>
    <w:rPr>
      <w:i/>
      <w:iCs/>
      <w:color w:val="404040" w:themeColor="text1" w:themeTint="BF"/>
      <w:kern w:val="0"/>
      <w:sz w:val="24"/>
      <w14:ligatures w14:val="none"/>
    </w:rPr>
  </w:style>
  <w:style w:type="paragraph" w:styleId="Prrafodelista">
    <w:name w:val="List Paragraph"/>
    <w:basedOn w:val="Normal"/>
    <w:uiPriority w:val="34"/>
    <w:qFormat/>
    <w:rsid w:val="00D351E5"/>
    <w:pPr>
      <w:ind w:left="720"/>
      <w:contextualSpacing/>
    </w:pPr>
  </w:style>
  <w:style w:type="character" w:styleId="nfasisintenso">
    <w:name w:val="Intense Emphasis"/>
    <w:basedOn w:val="Fuentedeprrafopredeter"/>
    <w:uiPriority w:val="21"/>
    <w:qFormat/>
    <w:rsid w:val="00D351E5"/>
    <w:rPr>
      <w:i/>
      <w:iCs/>
      <w:color w:val="0F4761" w:themeColor="accent1" w:themeShade="BF"/>
    </w:rPr>
  </w:style>
  <w:style w:type="paragraph" w:styleId="Citadestacada">
    <w:name w:val="Intense Quote"/>
    <w:basedOn w:val="Normal"/>
    <w:next w:val="Normal"/>
    <w:link w:val="CitadestacadaCar"/>
    <w:uiPriority w:val="30"/>
    <w:qFormat/>
    <w:rsid w:val="00D351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351E5"/>
    <w:rPr>
      <w:i/>
      <w:iCs/>
      <w:color w:val="0F4761" w:themeColor="accent1" w:themeShade="BF"/>
      <w:kern w:val="0"/>
      <w:sz w:val="24"/>
      <w14:ligatures w14:val="none"/>
    </w:rPr>
  </w:style>
  <w:style w:type="character" w:styleId="Referenciaintensa">
    <w:name w:val="Intense Reference"/>
    <w:basedOn w:val="Fuentedeprrafopredeter"/>
    <w:uiPriority w:val="32"/>
    <w:qFormat/>
    <w:rsid w:val="00D351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94482">
      <w:bodyDiv w:val="1"/>
      <w:marLeft w:val="0"/>
      <w:marRight w:val="0"/>
      <w:marTop w:val="0"/>
      <w:marBottom w:val="0"/>
      <w:divBdr>
        <w:top w:val="none" w:sz="0" w:space="0" w:color="auto"/>
        <w:left w:val="none" w:sz="0" w:space="0" w:color="auto"/>
        <w:bottom w:val="none" w:sz="0" w:space="0" w:color="auto"/>
        <w:right w:val="none" w:sz="0" w:space="0" w:color="auto"/>
      </w:divBdr>
    </w:div>
    <w:div w:id="236130587">
      <w:bodyDiv w:val="1"/>
      <w:marLeft w:val="0"/>
      <w:marRight w:val="0"/>
      <w:marTop w:val="0"/>
      <w:marBottom w:val="0"/>
      <w:divBdr>
        <w:top w:val="none" w:sz="0" w:space="0" w:color="auto"/>
        <w:left w:val="none" w:sz="0" w:space="0" w:color="auto"/>
        <w:bottom w:val="none" w:sz="0" w:space="0" w:color="auto"/>
        <w:right w:val="none" w:sz="0" w:space="0" w:color="auto"/>
      </w:divBdr>
    </w:div>
    <w:div w:id="528877268">
      <w:bodyDiv w:val="1"/>
      <w:marLeft w:val="0"/>
      <w:marRight w:val="0"/>
      <w:marTop w:val="0"/>
      <w:marBottom w:val="0"/>
      <w:divBdr>
        <w:top w:val="none" w:sz="0" w:space="0" w:color="auto"/>
        <w:left w:val="none" w:sz="0" w:space="0" w:color="auto"/>
        <w:bottom w:val="none" w:sz="0" w:space="0" w:color="auto"/>
        <w:right w:val="none" w:sz="0" w:space="0" w:color="auto"/>
      </w:divBdr>
    </w:div>
    <w:div w:id="611790613">
      <w:bodyDiv w:val="1"/>
      <w:marLeft w:val="0"/>
      <w:marRight w:val="0"/>
      <w:marTop w:val="0"/>
      <w:marBottom w:val="0"/>
      <w:divBdr>
        <w:top w:val="none" w:sz="0" w:space="0" w:color="auto"/>
        <w:left w:val="none" w:sz="0" w:space="0" w:color="auto"/>
        <w:bottom w:val="none" w:sz="0" w:space="0" w:color="auto"/>
        <w:right w:val="none" w:sz="0" w:space="0" w:color="auto"/>
      </w:divBdr>
      <w:divsChild>
        <w:div w:id="2039967318">
          <w:marLeft w:val="547"/>
          <w:marRight w:val="0"/>
          <w:marTop w:val="0"/>
          <w:marBottom w:val="0"/>
          <w:divBdr>
            <w:top w:val="none" w:sz="0" w:space="0" w:color="auto"/>
            <w:left w:val="none" w:sz="0" w:space="0" w:color="auto"/>
            <w:bottom w:val="none" w:sz="0" w:space="0" w:color="auto"/>
            <w:right w:val="none" w:sz="0" w:space="0" w:color="auto"/>
          </w:divBdr>
        </w:div>
        <w:div w:id="1638875897">
          <w:marLeft w:val="547"/>
          <w:marRight w:val="0"/>
          <w:marTop w:val="0"/>
          <w:marBottom w:val="0"/>
          <w:divBdr>
            <w:top w:val="none" w:sz="0" w:space="0" w:color="auto"/>
            <w:left w:val="none" w:sz="0" w:space="0" w:color="auto"/>
            <w:bottom w:val="none" w:sz="0" w:space="0" w:color="auto"/>
            <w:right w:val="none" w:sz="0" w:space="0" w:color="auto"/>
          </w:divBdr>
        </w:div>
        <w:div w:id="1709258326">
          <w:marLeft w:val="547"/>
          <w:marRight w:val="0"/>
          <w:marTop w:val="0"/>
          <w:marBottom w:val="0"/>
          <w:divBdr>
            <w:top w:val="none" w:sz="0" w:space="0" w:color="auto"/>
            <w:left w:val="none" w:sz="0" w:space="0" w:color="auto"/>
            <w:bottom w:val="none" w:sz="0" w:space="0" w:color="auto"/>
            <w:right w:val="none" w:sz="0" w:space="0" w:color="auto"/>
          </w:divBdr>
        </w:div>
      </w:divsChild>
    </w:div>
    <w:div w:id="668602902">
      <w:bodyDiv w:val="1"/>
      <w:marLeft w:val="0"/>
      <w:marRight w:val="0"/>
      <w:marTop w:val="0"/>
      <w:marBottom w:val="0"/>
      <w:divBdr>
        <w:top w:val="none" w:sz="0" w:space="0" w:color="auto"/>
        <w:left w:val="none" w:sz="0" w:space="0" w:color="auto"/>
        <w:bottom w:val="none" w:sz="0" w:space="0" w:color="auto"/>
        <w:right w:val="none" w:sz="0" w:space="0" w:color="auto"/>
      </w:divBdr>
    </w:div>
    <w:div w:id="1164321050">
      <w:bodyDiv w:val="1"/>
      <w:marLeft w:val="0"/>
      <w:marRight w:val="0"/>
      <w:marTop w:val="0"/>
      <w:marBottom w:val="0"/>
      <w:divBdr>
        <w:top w:val="none" w:sz="0" w:space="0" w:color="auto"/>
        <w:left w:val="none" w:sz="0" w:space="0" w:color="auto"/>
        <w:bottom w:val="none" w:sz="0" w:space="0" w:color="auto"/>
        <w:right w:val="none" w:sz="0" w:space="0" w:color="auto"/>
      </w:divBdr>
      <w:divsChild>
        <w:div w:id="765229568">
          <w:marLeft w:val="547"/>
          <w:marRight w:val="0"/>
          <w:marTop w:val="0"/>
          <w:marBottom w:val="0"/>
          <w:divBdr>
            <w:top w:val="none" w:sz="0" w:space="0" w:color="auto"/>
            <w:left w:val="none" w:sz="0" w:space="0" w:color="auto"/>
            <w:bottom w:val="none" w:sz="0" w:space="0" w:color="auto"/>
            <w:right w:val="none" w:sz="0" w:space="0" w:color="auto"/>
          </w:divBdr>
        </w:div>
        <w:div w:id="839003295">
          <w:marLeft w:val="1166"/>
          <w:marRight w:val="0"/>
          <w:marTop w:val="0"/>
          <w:marBottom w:val="0"/>
          <w:divBdr>
            <w:top w:val="none" w:sz="0" w:space="0" w:color="auto"/>
            <w:left w:val="none" w:sz="0" w:space="0" w:color="auto"/>
            <w:bottom w:val="none" w:sz="0" w:space="0" w:color="auto"/>
            <w:right w:val="none" w:sz="0" w:space="0" w:color="auto"/>
          </w:divBdr>
        </w:div>
        <w:div w:id="143205675">
          <w:marLeft w:val="547"/>
          <w:marRight w:val="0"/>
          <w:marTop w:val="0"/>
          <w:marBottom w:val="0"/>
          <w:divBdr>
            <w:top w:val="none" w:sz="0" w:space="0" w:color="auto"/>
            <w:left w:val="none" w:sz="0" w:space="0" w:color="auto"/>
            <w:bottom w:val="none" w:sz="0" w:space="0" w:color="auto"/>
            <w:right w:val="none" w:sz="0" w:space="0" w:color="auto"/>
          </w:divBdr>
        </w:div>
        <w:div w:id="1736245500">
          <w:marLeft w:val="1166"/>
          <w:marRight w:val="0"/>
          <w:marTop w:val="0"/>
          <w:marBottom w:val="0"/>
          <w:divBdr>
            <w:top w:val="none" w:sz="0" w:space="0" w:color="auto"/>
            <w:left w:val="none" w:sz="0" w:space="0" w:color="auto"/>
            <w:bottom w:val="none" w:sz="0" w:space="0" w:color="auto"/>
            <w:right w:val="none" w:sz="0" w:space="0" w:color="auto"/>
          </w:divBdr>
        </w:div>
        <w:div w:id="1199200855">
          <w:marLeft w:val="547"/>
          <w:marRight w:val="0"/>
          <w:marTop w:val="0"/>
          <w:marBottom w:val="0"/>
          <w:divBdr>
            <w:top w:val="none" w:sz="0" w:space="0" w:color="auto"/>
            <w:left w:val="none" w:sz="0" w:space="0" w:color="auto"/>
            <w:bottom w:val="none" w:sz="0" w:space="0" w:color="auto"/>
            <w:right w:val="none" w:sz="0" w:space="0" w:color="auto"/>
          </w:divBdr>
        </w:div>
        <w:div w:id="793597761">
          <w:marLeft w:val="1166"/>
          <w:marRight w:val="0"/>
          <w:marTop w:val="0"/>
          <w:marBottom w:val="0"/>
          <w:divBdr>
            <w:top w:val="none" w:sz="0" w:space="0" w:color="auto"/>
            <w:left w:val="none" w:sz="0" w:space="0" w:color="auto"/>
            <w:bottom w:val="none" w:sz="0" w:space="0" w:color="auto"/>
            <w:right w:val="none" w:sz="0" w:space="0" w:color="auto"/>
          </w:divBdr>
        </w:div>
        <w:div w:id="2071804477">
          <w:marLeft w:val="547"/>
          <w:marRight w:val="0"/>
          <w:marTop w:val="0"/>
          <w:marBottom w:val="0"/>
          <w:divBdr>
            <w:top w:val="none" w:sz="0" w:space="0" w:color="auto"/>
            <w:left w:val="none" w:sz="0" w:space="0" w:color="auto"/>
            <w:bottom w:val="none" w:sz="0" w:space="0" w:color="auto"/>
            <w:right w:val="none" w:sz="0" w:space="0" w:color="auto"/>
          </w:divBdr>
        </w:div>
        <w:div w:id="648244449">
          <w:marLeft w:val="1166"/>
          <w:marRight w:val="0"/>
          <w:marTop w:val="0"/>
          <w:marBottom w:val="0"/>
          <w:divBdr>
            <w:top w:val="none" w:sz="0" w:space="0" w:color="auto"/>
            <w:left w:val="none" w:sz="0" w:space="0" w:color="auto"/>
            <w:bottom w:val="none" w:sz="0" w:space="0" w:color="auto"/>
            <w:right w:val="none" w:sz="0" w:space="0" w:color="auto"/>
          </w:divBdr>
        </w:div>
        <w:div w:id="419563900">
          <w:marLeft w:val="547"/>
          <w:marRight w:val="0"/>
          <w:marTop w:val="0"/>
          <w:marBottom w:val="0"/>
          <w:divBdr>
            <w:top w:val="none" w:sz="0" w:space="0" w:color="auto"/>
            <w:left w:val="none" w:sz="0" w:space="0" w:color="auto"/>
            <w:bottom w:val="none" w:sz="0" w:space="0" w:color="auto"/>
            <w:right w:val="none" w:sz="0" w:space="0" w:color="auto"/>
          </w:divBdr>
        </w:div>
        <w:div w:id="1078290401">
          <w:marLeft w:val="1166"/>
          <w:marRight w:val="0"/>
          <w:marTop w:val="0"/>
          <w:marBottom w:val="0"/>
          <w:divBdr>
            <w:top w:val="none" w:sz="0" w:space="0" w:color="auto"/>
            <w:left w:val="none" w:sz="0" w:space="0" w:color="auto"/>
            <w:bottom w:val="none" w:sz="0" w:space="0" w:color="auto"/>
            <w:right w:val="none" w:sz="0" w:space="0" w:color="auto"/>
          </w:divBdr>
        </w:div>
      </w:divsChild>
    </w:div>
    <w:div w:id="1240408629">
      <w:bodyDiv w:val="1"/>
      <w:marLeft w:val="0"/>
      <w:marRight w:val="0"/>
      <w:marTop w:val="0"/>
      <w:marBottom w:val="0"/>
      <w:divBdr>
        <w:top w:val="none" w:sz="0" w:space="0" w:color="auto"/>
        <w:left w:val="none" w:sz="0" w:space="0" w:color="auto"/>
        <w:bottom w:val="none" w:sz="0" w:space="0" w:color="auto"/>
        <w:right w:val="none" w:sz="0" w:space="0" w:color="auto"/>
      </w:divBdr>
    </w:div>
    <w:div w:id="1609896201">
      <w:bodyDiv w:val="1"/>
      <w:marLeft w:val="0"/>
      <w:marRight w:val="0"/>
      <w:marTop w:val="0"/>
      <w:marBottom w:val="0"/>
      <w:divBdr>
        <w:top w:val="none" w:sz="0" w:space="0" w:color="auto"/>
        <w:left w:val="none" w:sz="0" w:space="0" w:color="auto"/>
        <w:bottom w:val="none" w:sz="0" w:space="0" w:color="auto"/>
        <w:right w:val="none" w:sz="0" w:space="0" w:color="auto"/>
      </w:divBdr>
    </w:div>
    <w:div w:id="1663586962">
      <w:bodyDiv w:val="1"/>
      <w:marLeft w:val="0"/>
      <w:marRight w:val="0"/>
      <w:marTop w:val="0"/>
      <w:marBottom w:val="0"/>
      <w:divBdr>
        <w:top w:val="none" w:sz="0" w:space="0" w:color="auto"/>
        <w:left w:val="none" w:sz="0" w:space="0" w:color="auto"/>
        <w:bottom w:val="none" w:sz="0" w:space="0" w:color="auto"/>
        <w:right w:val="none" w:sz="0" w:space="0" w:color="auto"/>
      </w:divBdr>
    </w:div>
    <w:div w:id="1963805080">
      <w:bodyDiv w:val="1"/>
      <w:marLeft w:val="0"/>
      <w:marRight w:val="0"/>
      <w:marTop w:val="0"/>
      <w:marBottom w:val="0"/>
      <w:divBdr>
        <w:top w:val="none" w:sz="0" w:space="0" w:color="auto"/>
        <w:left w:val="none" w:sz="0" w:space="0" w:color="auto"/>
        <w:bottom w:val="none" w:sz="0" w:space="0" w:color="auto"/>
        <w:right w:val="none" w:sz="0" w:space="0" w:color="auto"/>
      </w:divBdr>
    </w:div>
    <w:div w:id="2061515414">
      <w:bodyDiv w:val="1"/>
      <w:marLeft w:val="0"/>
      <w:marRight w:val="0"/>
      <w:marTop w:val="0"/>
      <w:marBottom w:val="0"/>
      <w:divBdr>
        <w:top w:val="none" w:sz="0" w:space="0" w:color="auto"/>
        <w:left w:val="none" w:sz="0" w:space="0" w:color="auto"/>
        <w:bottom w:val="none" w:sz="0" w:space="0" w:color="auto"/>
        <w:right w:val="none" w:sz="0" w:space="0" w:color="auto"/>
      </w:divBdr>
    </w:div>
    <w:div w:id="21138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3042</Characters>
  <Application>Microsoft Office Word</Application>
  <DocSecurity>0</DocSecurity>
  <Lines>25</Lines>
  <Paragraphs>7</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2024-04-29T05:31:00Z</dcterms:created>
  <dcterms:modified xsi:type="dcterms:W3CDTF">2024-04-29T05:31:00Z</dcterms:modified>
</cp:coreProperties>
</file>