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6C6E" w14:textId="77777777" w:rsidR="00D170BE" w:rsidRPr="002A0446" w:rsidRDefault="00D170BE" w:rsidP="00D170BE">
      <w:pPr>
        <w:pStyle w:val="Prrafodelista"/>
        <w:numPr>
          <w:ilvl w:val="0"/>
          <w:numId w:val="1"/>
        </w:numPr>
        <w:rPr>
          <w:b/>
          <w:bCs/>
          <w:sz w:val="20"/>
          <w:szCs w:val="20"/>
        </w:rPr>
      </w:pPr>
      <w:r w:rsidRPr="002A0446">
        <w:rPr>
          <w:b/>
          <w:bCs/>
          <w:sz w:val="20"/>
          <w:szCs w:val="20"/>
        </w:rPr>
        <w:t>Los dones espirituales:</w:t>
      </w:r>
    </w:p>
    <w:p w14:paraId="292D7E52" w14:textId="77777777" w:rsidR="00D170BE" w:rsidRPr="002A0446" w:rsidRDefault="00D170BE" w:rsidP="00D170BE">
      <w:pPr>
        <w:pStyle w:val="Prrafodelista"/>
        <w:numPr>
          <w:ilvl w:val="1"/>
          <w:numId w:val="1"/>
        </w:numPr>
        <w:rPr>
          <w:b/>
          <w:bCs/>
          <w:sz w:val="20"/>
          <w:szCs w:val="20"/>
        </w:rPr>
      </w:pPr>
      <w:r w:rsidRPr="002A0446">
        <w:rPr>
          <w:b/>
          <w:bCs/>
          <w:sz w:val="20"/>
          <w:szCs w:val="20"/>
        </w:rPr>
        <w:t>Muchos dones, un único Dador.</w:t>
      </w:r>
    </w:p>
    <w:p w14:paraId="3607945B" w14:textId="7801CF89" w:rsidR="0044563A" w:rsidRPr="002A0446" w:rsidRDefault="0044563A" w:rsidP="0044563A">
      <w:pPr>
        <w:pStyle w:val="Prrafodelista"/>
        <w:numPr>
          <w:ilvl w:val="2"/>
          <w:numId w:val="1"/>
        </w:numPr>
        <w:rPr>
          <w:sz w:val="20"/>
          <w:szCs w:val="20"/>
        </w:rPr>
      </w:pPr>
      <w:r w:rsidRPr="002A0446">
        <w:rPr>
          <w:sz w:val="20"/>
          <w:szCs w:val="20"/>
        </w:rPr>
        <w:t>¿Quién otorga los dones espirituales? (1Co. 12:4-6)</w:t>
      </w:r>
    </w:p>
    <w:tbl>
      <w:tblPr>
        <w:tblW w:w="10196" w:type="dxa"/>
        <w:tblLayout w:type="fixed"/>
        <w:tblCellMar>
          <w:left w:w="0" w:type="dxa"/>
          <w:right w:w="0" w:type="dxa"/>
        </w:tblCellMar>
        <w:tblLook w:val="0400" w:firstRow="0" w:lastRow="0" w:firstColumn="0" w:lastColumn="0" w:noHBand="0" w:noVBand="1"/>
      </w:tblPr>
      <w:tblGrid>
        <w:gridCol w:w="1407"/>
        <w:gridCol w:w="2269"/>
        <w:gridCol w:w="1984"/>
        <w:gridCol w:w="851"/>
        <w:gridCol w:w="1701"/>
        <w:gridCol w:w="1984"/>
      </w:tblGrid>
      <w:tr w:rsidR="0044563A" w:rsidRPr="002A0446" w14:paraId="4B970054" w14:textId="77777777" w:rsidTr="002A0446">
        <w:trPr>
          <w:trHeight w:val="226"/>
        </w:trPr>
        <w:tc>
          <w:tcPr>
            <w:tcW w:w="1407"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07A32451"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1Co. 12:4</w:t>
            </w:r>
          </w:p>
        </w:tc>
        <w:tc>
          <w:tcPr>
            <w:tcW w:w="2269" w:type="dxa"/>
            <w:vMerge w:val="restart"/>
            <w:tcBorders>
              <w:top w:val="single" w:sz="8" w:space="0" w:color="000000"/>
              <w:left w:val="single" w:sz="8" w:space="0" w:color="7F4D00"/>
              <w:bottom w:val="single" w:sz="8" w:space="0" w:color="000000"/>
              <w:right w:val="single" w:sz="8" w:space="0" w:color="FF5050"/>
            </w:tcBorders>
            <w:shd w:val="clear" w:color="auto" w:fill="FFFFC2"/>
            <w:tcMar>
              <w:top w:w="72" w:type="dxa"/>
              <w:left w:w="144" w:type="dxa"/>
              <w:bottom w:w="72" w:type="dxa"/>
              <w:right w:w="144" w:type="dxa"/>
            </w:tcMar>
            <w:vAlign w:val="center"/>
            <w:hideMark/>
          </w:tcPr>
          <w:p w14:paraId="18B4F1A6"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Hay diversidad de</w:t>
            </w:r>
          </w:p>
        </w:tc>
        <w:tc>
          <w:tcPr>
            <w:tcW w:w="1984"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70A725F3"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dones</w:t>
            </w:r>
          </w:p>
        </w:tc>
        <w:tc>
          <w:tcPr>
            <w:tcW w:w="851" w:type="dxa"/>
            <w:vMerge w:val="restart"/>
            <w:tcBorders>
              <w:top w:val="single" w:sz="8" w:space="0" w:color="000000"/>
              <w:left w:val="single" w:sz="8" w:space="0" w:color="FF5050"/>
              <w:bottom w:val="single" w:sz="8" w:space="0" w:color="000000"/>
              <w:right w:val="single" w:sz="8" w:space="0" w:color="006600"/>
            </w:tcBorders>
            <w:shd w:val="clear" w:color="auto" w:fill="FFFFC2"/>
            <w:tcMar>
              <w:top w:w="72" w:type="dxa"/>
              <w:left w:w="144" w:type="dxa"/>
              <w:bottom w:w="72" w:type="dxa"/>
              <w:right w:w="144" w:type="dxa"/>
            </w:tcMar>
            <w:vAlign w:val="center"/>
            <w:hideMark/>
          </w:tcPr>
          <w:p w14:paraId="5767C167"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pero</w:t>
            </w: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42737C70"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el Espíritu</w:t>
            </w:r>
          </w:p>
        </w:tc>
        <w:tc>
          <w:tcPr>
            <w:tcW w:w="1984" w:type="dxa"/>
            <w:vMerge w:val="restart"/>
            <w:tcBorders>
              <w:top w:val="single" w:sz="8" w:space="0" w:color="000000"/>
              <w:left w:val="single" w:sz="8" w:space="0" w:color="006600"/>
              <w:bottom w:val="single" w:sz="8" w:space="0" w:color="000000"/>
              <w:right w:val="single" w:sz="8" w:space="0" w:color="000000"/>
            </w:tcBorders>
            <w:shd w:val="clear" w:color="auto" w:fill="FFFFC2"/>
            <w:tcMar>
              <w:top w:w="72" w:type="dxa"/>
              <w:left w:w="144" w:type="dxa"/>
              <w:bottom w:w="72" w:type="dxa"/>
              <w:right w:w="144" w:type="dxa"/>
            </w:tcMar>
            <w:vAlign w:val="center"/>
            <w:hideMark/>
          </w:tcPr>
          <w:p w14:paraId="63799D5E"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es el mismo</w:t>
            </w:r>
          </w:p>
        </w:tc>
      </w:tr>
      <w:tr w:rsidR="0044563A" w:rsidRPr="002A0446" w14:paraId="6A4C96DC" w14:textId="77777777" w:rsidTr="002A0446">
        <w:trPr>
          <w:trHeight w:val="246"/>
        </w:trPr>
        <w:tc>
          <w:tcPr>
            <w:tcW w:w="1407" w:type="dxa"/>
            <w:tcBorders>
              <w:top w:val="single" w:sz="8" w:space="0" w:color="7F4D00"/>
              <w:left w:val="single" w:sz="8" w:space="0" w:color="7F4D00"/>
              <w:bottom w:val="single" w:sz="8" w:space="0" w:color="7F4D00"/>
              <w:right w:val="single" w:sz="8" w:space="0" w:color="7F4D00"/>
            </w:tcBorders>
            <w:shd w:val="clear" w:color="auto" w:fill="FFEBCC"/>
            <w:tcMar>
              <w:top w:w="72" w:type="dxa"/>
              <w:left w:w="144" w:type="dxa"/>
              <w:bottom w:w="72" w:type="dxa"/>
              <w:right w:w="144" w:type="dxa"/>
            </w:tcMar>
            <w:hideMark/>
          </w:tcPr>
          <w:p w14:paraId="7AF486E8"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1Co. 12:5</w:t>
            </w:r>
          </w:p>
        </w:tc>
        <w:tc>
          <w:tcPr>
            <w:tcW w:w="2269" w:type="dxa"/>
            <w:vMerge/>
            <w:tcBorders>
              <w:top w:val="single" w:sz="8" w:space="0" w:color="000000"/>
              <w:left w:val="single" w:sz="8" w:space="0" w:color="7F4D00"/>
              <w:bottom w:val="single" w:sz="8" w:space="0" w:color="000000"/>
              <w:right w:val="single" w:sz="8" w:space="0" w:color="FF5050"/>
            </w:tcBorders>
            <w:vAlign w:val="center"/>
            <w:hideMark/>
          </w:tcPr>
          <w:p w14:paraId="11E85DCE"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984" w:type="dxa"/>
            <w:tcBorders>
              <w:top w:val="single" w:sz="8" w:space="0" w:color="FF5050"/>
              <w:left w:val="single" w:sz="8" w:space="0" w:color="FF5050"/>
              <w:bottom w:val="single" w:sz="8" w:space="0" w:color="FF5050"/>
              <w:right w:val="single" w:sz="8" w:space="0" w:color="FF5050"/>
            </w:tcBorders>
            <w:shd w:val="clear" w:color="auto" w:fill="FFE9E9"/>
            <w:tcMar>
              <w:top w:w="72" w:type="dxa"/>
              <w:left w:w="144" w:type="dxa"/>
              <w:bottom w:w="72" w:type="dxa"/>
              <w:right w:w="144" w:type="dxa"/>
            </w:tcMar>
            <w:hideMark/>
          </w:tcPr>
          <w:p w14:paraId="1A63747D"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ministerios</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7478B247"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C2FFC2"/>
            <w:tcMar>
              <w:top w:w="72" w:type="dxa"/>
              <w:left w:w="144" w:type="dxa"/>
              <w:bottom w:w="72" w:type="dxa"/>
              <w:right w:w="144" w:type="dxa"/>
            </w:tcMar>
            <w:hideMark/>
          </w:tcPr>
          <w:p w14:paraId="555C49F3"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el Señor</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508DC85E" w14:textId="77777777" w:rsidR="0044563A" w:rsidRPr="002A0446" w:rsidRDefault="0044563A" w:rsidP="0044563A">
            <w:pPr>
              <w:spacing w:after="0" w:line="240" w:lineRule="auto"/>
              <w:rPr>
                <w:rFonts w:ascii="Arial" w:eastAsia="Times New Roman" w:hAnsi="Arial" w:cs="Arial"/>
                <w:sz w:val="20"/>
                <w:szCs w:val="20"/>
                <w:lang w:eastAsia="es-ES"/>
              </w:rPr>
            </w:pPr>
          </w:p>
        </w:tc>
      </w:tr>
      <w:tr w:rsidR="0044563A" w:rsidRPr="002A0446" w14:paraId="52B49650" w14:textId="77777777" w:rsidTr="002A0446">
        <w:trPr>
          <w:trHeight w:val="124"/>
        </w:trPr>
        <w:tc>
          <w:tcPr>
            <w:tcW w:w="1407" w:type="dxa"/>
            <w:tcBorders>
              <w:top w:val="single" w:sz="8" w:space="0" w:color="7F4D00"/>
              <w:left w:val="single" w:sz="8" w:space="0" w:color="7F4D00"/>
              <w:bottom w:val="single" w:sz="8" w:space="0" w:color="7F4D00"/>
              <w:right w:val="single" w:sz="8" w:space="0" w:color="7F4D00"/>
            </w:tcBorders>
            <w:shd w:val="clear" w:color="auto" w:fill="FFD699"/>
            <w:tcMar>
              <w:top w:w="72" w:type="dxa"/>
              <w:left w:w="144" w:type="dxa"/>
              <w:bottom w:w="72" w:type="dxa"/>
              <w:right w:w="144" w:type="dxa"/>
            </w:tcMar>
            <w:hideMark/>
          </w:tcPr>
          <w:p w14:paraId="17447886"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1Co. 12:6</w:t>
            </w:r>
          </w:p>
        </w:tc>
        <w:tc>
          <w:tcPr>
            <w:tcW w:w="2269" w:type="dxa"/>
            <w:vMerge/>
            <w:tcBorders>
              <w:top w:val="single" w:sz="8" w:space="0" w:color="000000"/>
              <w:left w:val="single" w:sz="8" w:space="0" w:color="7F4D00"/>
              <w:bottom w:val="single" w:sz="8" w:space="0" w:color="000000"/>
              <w:right w:val="single" w:sz="8" w:space="0" w:color="FF5050"/>
            </w:tcBorders>
            <w:vAlign w:val="center"/>
            <w:hideMark/>
          </w:tcPr>
          <w:p w14:paraId="38D07729"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984" w:type="dxa"/>
            <w:tcBorders>
              <w:top w:val="single" w:sz="8" w:space="0" w:color="FF5050"/>
              <w:left w:val="single" w:sz="8" w:space="0" w:color="FF5050"/>
              <w:bottom w:val="single" w:sz="8" w:space="0" w:color="FF5050"/>
              <w:right w:val="single" w:sz="8" w:space="0" w:color="FF5050"/>
            </w:tcBorders>
            <w:shd w:val="clear" w:color="auto" w:fill="FFD0D0"/>
            <w:tcMar>
              <w:top w:w="72" w:type="dxa"/>
              <w:left w:w="144" w:type="dxa"/>
              <w:bottom w:w="72" w:type="dxa"/>
              <w:right w:w="144" w:type="dxa"/>
            </w:tcMar>
            <w:hideMark/>
          </w:tcPr>
          <w:p w14:paraId="30782880"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operaciones</w:t>
            </w:r>
          </w:p>
        </w:tc>
        <w:tc>
          <w:tcPr>
            <w:tcW w:w="851" w:type="dxa"/>
            <w:vMerge/>
            <w:tcBorders>
              <w:top w:val="single" w:sz="8" w:space="0" w:color="000000"/>
              <w:left w:val="single" w:sz="8" w:space="0" w:color="FF5050"/>
              <w:bottom w:val="single" w:sz="8" w:space="0" w:color="000000"/>
              <w:right w:val="single" w:sz="8" w:space="0" w:color="006600"/>
            </w:tcBorders>
            <w:vAlign w:val="center"/>
            <w:hideMark/>
          </w:tcPr>
          <w:p w14:paraId="0CB690B8" w14:textId="77777777" w:rsidR="0044563A" w:rsidRPr="002A0446" w:rsidRDefault="0044563A" w:rsidP="0044563A">
            <w:pPr>
              <w:spacing w:after="0" w:line="240" w:lineRule="auto"/>
              <w:rPr>
                <w:rFonts w:ascii="Arial" w:eastAsia="Times New Roman" w:hAnsi="Arial" w:cs="Arial"/>
                <w:sz w:val="20"/>
                <w:szCs w:val="20"/>
                <w:lang w:eastAsia="es-ES"/>
              </w:rPr>
            </w:pPr>
          </w:p>
        </w:tc>
        <w:tc>
          <w:tcPr>
            <w:tcW w:w="1701" w:type="dxa"/>
            <w:tcBorders>
              <w:top w:val="single" w:sz="8" w:space="0" w:color="006600"/>
              <w:left w:val="single" w:sz="8" w:space="0" w:color="006600"/>
              <w:bottom w:val="single" w:sz="8" w:space="0" w:color="006600"/>
              <w:right w:val="single" w:sz="8" w:space="0" w:color="006600"/>
            </w:tcBorders>
            <w:shd w:val="clear" w:color="auto" w:fill="85FF85"/>
            <w:tcMar>
              <w:top w:w="72" w:type="dxa"/>
              <w:left w:w="144" w:type="dxa"/>
              <w:bottom w:w="72" w:type="dxa"/>
              <w:right w:w="144" w:type="dxa"/>
            </w:tcMar>
            <w:hideMark/>
          </w:tcPr>
          <w:p w14:paraId="52DA8AA1" w14:textId="77777777" w:rsidR="0044563A" w:rsidRPr="002A0446" w:rsidRDefault="0044563A" w:rsidP="0044563A">
            <w:pPr>
              <w:spacing w:after="0" w:line="240" w:lineRule="auto"/>
              <w:rPr>
                <w:rFonts w:ascii="Arial" w:eastAsia="Times New Roman" w:hAnsi="Arial" w:cs="Arial"/>
                <w:sz w:val="20"/>
                <w:szCs w:val="20"/>
                <w:lang w:eastAsia="es-ES"/>
              </w:rPr>
            </w:pPr>
            <w:r w:rsidRPr="002A0446">
              <w:rPr>
                <w:rFonts w:ascii="Aptos" w:eastAsia="Times New Roman" w:hAnsi="Aptos" w:cs="Arial"/>
                <w:color w:val="000000" w:themeColor="dark1"/>
                <w:kern w:val="24"/>
                <w:sz w:val="20"/>
                <w:szCs w:val="20"/>
                <w:lang w:eastAsia="es-ES"/>
              </w:rPr>
              <w:t>Dios</w:t>
            </w:r>
          </w:p>
        </w:tc>
        <w:tc>
          <w:tcPr>
            <w:tcW w:w="1984" w:type="dxa"/>
            <w:vMerge/>
            <w:tcBorders>
              <w:top w:val="single" w:sz="8" w:space="0" w:color="000000"/>
              <w:left w:val="single" w:sz="8" w:space="0" w:color="006600"/>
              <w:bottom w:val="single" w:sz="8" w:space="0" w:color="000000"/>
              <w:right w:val="single" w:sz="8" w:space="0" w:color="000000"/>
            </w:tcBorders>
            <w:vAlign w:val="center"/>
            <w:hideMark/>
          </w:tcPr>
          <w:p w14:paraId="25052DA3" w14:textId="77777777" w:rsidR="0044563A" w:rsidRPr="002A0446" w:rsidRDefault="0044563A" w:rsidP="0044563A">
            <w:pPr>
              <w:spacing w:after="0" w:line="240" w:lineRule="auto"/>
              <w:rPr>
                <w:rFonts w:ascii="Arial" w:eastAsia="Times New Roman" w:hAnsi="Arial" w:cs="Arial"/>
                <w:sz w:val="20"/>
                <w:szCs w:val="20"/>
                <w:lang w:eastAsia="es-ES"/>
              </w:rPr>
            </w:pPr>
          </w:p>
        </w:tc>
      </w:tr>
    </w:tbl>
    <w:p w14:paraId="3CBC7678" w14:textId="7AD7CEA9" w:rsidR="0044563A" w:rsidRPr="002A0446" w:rsidRDefault="0044563A" w:rsidP="0044563A">
      <w:pPr>
        <w:pStyle w:val="Prrafodelista"/>
        <w:numPr>
          <w:ilvl w:val="0"/>
          <w:numId w:val="2"/>
        </w:numPr>
        <w:rPr>
          <w:sz w:val="20"/>
          <w:szCs w:val="20"/>
        </w:rPr>
      </w:pPr>
      <w:r w:rsidRPr="002A0446">
        <w:rPr>
          <w:sz w:val="20"/>
          <w:szCs w:val="20"/>
        </w:rPr>
        <w:t>Para ayudarnos a comprender la relación entre los dones espirituales y su Dador, Pablo usa tres términos para identificarlos, resaltando su diversidad: dones; ministerios; y operaciones.</w:t>
      </w:r>
    </w:p>
    <w:p w14:paraId="67BB64E1" w14:textId="361E1489" w:rsidR="0044563A" w:rsidRPr="002A0446" w:rsidRDefault="0044563A" w:rsidP="0044563A">
      <w:pPr>
        <w:pStyle w:val="Prrafodelista"/>
        <w:numPr>
          <w:ilvl w:val="0"/>
          <w:numId w:val="2"/>
        </w:numPr>
        <w:rPr>
          <w:sz w:val="20"/>
          <w:szCs w:val="20"/>
        </w:rPr>
      </w:pPr>
      <w:r w:rsidRPr="002A0446">
        <w:rPr>
          <w:sz w:val="20"/>
          <w:szCs w:val="20"/>
        </w:rPr>
        <w:t>Sin embargo, el Dador es Uno solo: el Espíritu [Santo]; el Señor [Jesús]; y Dios [Padre]. Es decir: la Deidad trabajando al unísono (</w:t>
      </w:r>
      <w:proofErr w:type="spellStart"/>
      <w:r w:rsidRPr="002A0446">
        <w:rPr>
          <w:sz w:val="20"/>
          <w:szCs w:val="20"/>
        </w:rPr>
        <w:t>Jn</w:t>
      </w:r>
      <w:proofErr w:type="spellEnd"/>
      <w:r w:rsidRPr="002A0446">
        <w:rPr>
          <w:sz w:val="20"/>
          <w:szCs w:val="20"/>
        </w:rPr>
        <w:t>. 14:16).</w:t>
      </w:r>
    </w:p>
    <w:p w14:paraId="4311ECA9" w14:textId="7F9A6B47" w:rsidR="0044563A" w:rsidRPr="002A0446" w:rsidRDefault="0044563A" w:rsidP="0044563A">
      <w:pPr>
        <w:pStyle w:val="Prrafodelista"/>
        <w:numPr>
          <w:ilvl w:val="0"/>
          <w:numId w:val="2"/>
        </w:numPr>
        <w:rPr>
          <w:sz w:val="20"/>
          <w:szCs w:val="20"/>
        </w:rPr>
      </w:pPr>
      <w:r w:rsidRPr="002A0446">
        <w:rPr>
          <w:sz w:val="20"/>
          <w:szCs w:val="20"/>
        </w:rPr>
        <w:t>Pero Dios no otorga los dones como lo hacían los “dioses” grecorromanos (1Co. 12:2). No hay éxtasis, ni selección jerárquica de los destinatarios de los dones (como, por ejemplo, sacerdotisas).</w:t>
      </w:r>
    </w:p>
    <w:p w14:paraId="57F99478" w14:textId="6B8469D4" w:rsidR="0044563A" w:rsidRPr="002A0446" w:rsidRDefault="0044563A" w:rsidP="0044563A">
      <w:pPr>
        <w:pStyle w:val="Prrafodelista"/>
        <w:numPr>
          <w:ilvl w:val="0"/>
          <w:numId w:val="2"/>
        </w:numPr>
        <w:rPr>
          <w:sz w:val="20"/>
          <w:szCs w:val="20"/>
        </w:rPr>
      </w:pPr>
      <w:r w:rsidRPr="002A0446">
        <w:rPr>
          <w:sz w:val="20"/>
          <w:szCs w:val="20"/>
        </w:rPr>
        <w:t>¿Cuál es el motivo por el cual Dios da distintos dones a distintas personas? (1Co. 12:7)</w:t>
      </w:r>
    </w:p>
    <w:p w14:paraId="13B6B7C7" w14:textId="4F6E89B2" w:rsidR="0044563A" w:rsidRPr="002A0446" w:rsidRDefault="0044563A" w:rsidP="0044563A">
      <w:pPr>
        <w:pStyle w:val="Prrafodelista"/>
        <w:numPr>
          <w:ilvl w:val="0"/>
          <w:numId w:val="2"/>
        </w:numPr>
        <w:rPr>
          <w:sz w:val="20"/>
          <w:szCs w:val="20"/>
        </w:rPr>
      </w:pPr>
      <w:r w:rsidRPr="002A0446">
        <w:rPr>
          <w:sz w:val="20"/>
          <w:szCs w:val="20"/>
        </w:rPr>
        <w:t>Los dones espirituales se utilizan “para provecho” de la iglesia. Solo Dios sabe qué personas pueden usar un don concreto para alcanzar ese propósito.</w:t>
      </w:r>
    </w:p>
    <w:p w14:paraId="5153D8C5" w14:textId="77777777" w:rsidR="00D170BE" w:rsidRPr="002A0446" w:rsidRDefault="00D170BE" w:rsidP="00D170BE">
      <w:pPr>
        <w:pStyle w:val="Prrafodelista"/>
        <w:numPr>
          <w:ilvl w:val="1"/>
          <w:numId w:val="1"/>
        </w:numPr>
        <w:rPr>
          <w:b/>
          <w:bCs/>
          <w:sz w:val="20"/>
          <w:szCs w:val="20"/>
        </w:rPr>
      </w:pPr>
      <w:r w:rsidRPr="002A0446">
        <w:rPr>
          <w:b/>
          <w:bCs/>
          <w:sz w:val="20"/>
          <w:szCs w:val="20"/>
        </w:rPr>
        <w:t>Muchos miembros, un único cuerpo.</w:t>
      </w:r>
    </w:p>
    <w:p w14:paraId="7BA23374" w14:textId="3D7C2858" w:rsidR="005C3DAD" w:rsidRPr="002A0446" w:rsidRDefault="005C3DAD" w:rsidP="005C3DAD">
      <w:pPr>
        <w:pStyle w:val="Prrafodelista"/>
        <w:numPr>
          <w:ilvl w:val="2"/>
          <w:numId w:val="1"/>
        </w:numPr>
        <w:rPr>
          <w:sz w:val="20"/>
          <w:szCs w:val="20"/>
        </w:rPr>
      </w:pPr>
      <w:r w:rsidRPr="002A0446">
        <w:rPr>
          <w:sz w:val="20"/>
          <w:szCs w:val="20"/>
        </w:rPr>
        <w:t>Dios es uno, pero cada miembro de la Deidad tiene su propia función. Así, la iglesia es una, pero cada componente de ella tiene su propia función como parte del cuerpo de Cristo en la Tierra (1Co. 12:12-13).</w:t>
      </w:r>
    </w:p>
    <w:p w14:paraId="762932A6" w14:textId="3F016DCF" w:rsidR="005C3DAD" w:rsidRPr="002A0446" w:rsidRDefault="005C3DAD" w:rsidP="005C3DAD">
      <w:pPr>
        <w:pStyle w:val="Prrafodelista"/>
        <w:numPr>
          <w:ilvl w:val="2"/>
          <w:numId w:val="1"/>
        </w:numPr>
        <w:rPr>
          <w:sz w:val="20"/>
          <w:szCs w:val="20"/>
        </w:rPr>
      </w:pPr>
      <w:r w:rsidRPr="002A0446">
        <w:rPr>
          <w:sz w:val="20"/>
          <w:szCs w:val="20"/>
        </w:rPr>
        <w:t>Pablo usa el símil del cuerpo humano como la iglesia para resaltar la unidad en la diversidad. El ojo tiene el “don” de la vista, pero la oreja no. Sin embargo, los dos se complementan al trabajar unidos. Del mismo modo, en la iglesia cada uno realiza su obra en función de los dones recibidos (1Co. 12:28-30).</w:t>
      </w:r>
    </w:p>
    <w:p w14:paraId="62E77817" w14:textId="51EBDCEC" w:rsidR="005C3DAD" w:rsidRPr="002A0446" w:rsidRDefault="005C3DAD" w:rsidP="005C3DAD">
      <w:pPr>
        <w:pStyle w:val="Prrafodelista"/>
        <w:numPr>
          <w:ilvl w:val="2"/>
          <w:numId w:val="1"/>
        </w:numPr>
        <w:rPr>
          <w:sz w:val="20"/>
          <w:szCs w:val="20"/>
        </w:rPr>
      </w:pPr>
      <w:r w:rsidRPr="002A0446">
        <w:rPr>
          <w:sz w:val="20"/>
          <w:szCs w:val="20"/>
        </w:rPr>
        <w:t>Esto implica que todos son necesarios; que nadie es mayor que otro; que todos deben preocuparse por el bienestar de los demás; y que todos deben trabajar por la unidad de la iglesia (1Co. 12:15-27).</w:t>
      </w:r>
    </w:p>
    <w:p w14:paraId="18AFD443" w14:textId="77777777" w:rsidR="00D170BE" w:rsidRPr="002A0446" w:rsidRDefault="00D170BE" w:rsidP="00D170BE">
      <w:pPr>
        <w:pStyle w:val="Prrafodelista"/>
        <w:numPr>
          <w:ilvl w:val="0"/>
          <w:numId w:val="1"/>
        </w:numPr>
        <w:rPr>
          <w:b/>
          <w:bCs/>
          <w:sz w:val="20"/>
          <w:szCs w:val="20"/>
        </w:rPr>
      </w:pPr>
      <w:r w:rsidRPr="002A0446">
        <w:rPr>
          <w:b/>
          <w:bCs/>
          <w:sz w:val="20"/>
          <w:szCs w:val="20"/>
        </w:rPr>
        <w:t xml:space="preserve"> El elemento unificador:</w:t>
      </w:r>
    </w:p>
    <w:p w14:paraId="2C6EC7E3" w14:textId="77777777" w:rsidR="00D170BE" w:rsidRPr="002A0446" w:rsidRDefault="00D170BE" w:rsidP="00D170BE">
      <w:pPr>
        <w:pStyle w:val="Prrafodelista"/>
        <w:numPr>
          <w:ilvl w:val="1"/>
          <w:numId w:val="1"/>
        </w:numPr>
        <w:rPr>
          <w:b/>
          <w:bCs/>
          <w:sz w:val="20"/>
          <w:szCs w:val="20"/>
        </w:rPr>
      </w:pPr>
      <w:r w:rsidRPr="002A0446">
        <w:rPr>
          <w:b/>
          <w:bCs/>
          <w:sz w:val="20"/>
          <w:szCs w:val="20"/>
        </w:rPr>
        <w:t>La excelencia del amor.</w:t>
      </w:r>
    </w:p>
    <w:p w14:paraId="499A6F23" w14:textId="6C5C9953" w:rsidR="00DE22EB" w:rsidRPr="002A0446" w:rsidRDefault="00DE22EB" w:rsidP="00DE22EB">
      <w:pPr>
        <w:pStyle w:val="Prrafodelista"/>
        <w:numPr>
          <w:ilvl w:val="2"/>
          <w:numId w:val="1"/>
        </w:numPr>
        <w:rPr>
          <w:sz w:val="20"/>
          <w:szCs w:val="20"/>
        </w:rPr>
      </w:pPr>
      <w:r w:rsidRPr="002A0446">
        <w:rPr>
          <w:sz w:val="20"/>
          <w:szCs w:val="20"/>
        </w:rPr>
        <w:t>El amor no es un don, sino “un camino … excelente” (1Co. 12:31). Es fruto del Espíritu Santo en la vida del creyente (Gál. 5:22). Los dones espirituales solo pueden ser usados adecuadamente mediante el amor.</w:t>
      </w:r>
    </w:p>
    <w:p w14:paraId="27492F86" w14:textId="357CAD8B" w:rsidR="00DE22EB" w:rsidRPr="002A0446" w:rsidRDefault="00DE22EB" w:rsidP="00DE22EB">
      <w:pPr>
        <w:pStyle w:val="Prrafodelista"/>
        <w:numPr>
          <w:ilvl w:val="2"/>
          <w:numId w:val="1"/>
        </w:numPr>
        <w:rPr>
          <w:sz w:val="20"/>
          <w:szCs w:val="20"/>
        </w:rPr>
      </w:pPr>
      <w:r w:rsidRPr="002A0446">
        <w:rPr>
          <w:sz w:val="20"/>
          <w:szCs w:val="20"/>
        </w:rPr>
        <w:t>El don de lenguas, sin amor, es “metal que resuena”. El don de profecía, el de ciencia y el de fe, sin amor, no son nada. El don de la dadivosidad y el del martirio, sin amor, no sirven de nada (1Co. 13:1-3).</w:t>
      </w:r>
    </w:p>
    <w:p w14:paraId="30F71620" w14:textId="77777777" w:rsidR="00D170BE" w:rsidRPr="002A0446" w:rsidRDefault="00D170BE" w:rsidP="00D170BE">
      <w:pPr>
        <w:pStyle w:val="Prrafodelista"/>
        <w:numPr>
          <w:ilvl w:val="0"/>
          <w:numId w:val="1"/>
        </w:numPr>
        <w:rPr>
          <w:b/>
          <w:bCs/>
          <w:sz w:val="20"/>
          <w:szCs w:val="20"/>
        </w:rPr>
      </w:pPr>
      <w:r w:rsidRPr="002A0446">
        <w:rPr>
          <w:b/>
          <w:bCs/>
          <w:sz w:val="20"/>
          <w:szCs w:val="20"/>
        </w:rPr>
        <w:t xml:space="preserve"> Dones especiales:</w:t>
      </w:r>
    </w:p>
    <w:p w14:paraId="1218881E" w14:textId="77777777" w:rsidR="00D170BE" w:rsidRPr="002A0446" w:rsidRDefault="00D170BE" w:rsidP="00D170BE">
      <w:pPr>
        <w:pStyle w:val="Prrafodelista"/>
        <w:numPr>
          <w:ilvl w:val="1"/>
          <w:numId w:val="1"/>
        </w:numPr>
        <w:rPr>
          <w:b/>
          <w:bCs/>
          <w:sz w:val="20"/>
          <w:szCs w:val="20"/>
        </w:rPr>
      </w:pPr>
      <w:r w:rsidRPr="002A0446">
        <w:rPr>
          <w:b/>
          <w:bCs/>
          <w:sz w:val="20"/>
          <w:szCs w:val="20"/>
        </w:rPr>
        <w:t>El don de lenguas.</w:t>
      </w:r>
    </w:p>
    <w:p w14:paraId="58D4C906" w14:textId="07579D8E" w:rsidR="00D1283E" w:rsidRPr="002A0446" w:rsidRDefault="00D1283E" w:rsidP="00D1283E">
      <w:pPr>
        <w:pStyle w:val="Prrafodelista"/>
        <w:numPr>
          <w:ilvl w:val="2"/>
          <w:numId w:val="1"/>
        </w:numPr>
        <w:rPr>
          <w:sz w:val="20"/>
          <w:szCs w:val="20"/>
        </w:rPr>
      </w:pPr>
      <w:r w:rsidRPr="002A0446">
        <w:rPr>
          <w:sz w:val="20"/>
          <w:szCs w:val="20"/>
        </w:rPr>
        <w:t>El énfasis que Pablo hace en el don de lenguas y su uso correcto implica que éste era usado de forma inadecuada por los miembros de la iglesia de Corinto, provocando desorden y confusión en el culto público (1Co. 14:23).</w:t>
      </w:r>
    </w:p>
    <w:p w14:paraId="7572276E" w14:textId="2F2D4E29" w:rsidR="00D1283E" w:rsidRPr="002A0446" w:rsidRDefault="00D1283E" w:rsidP="00D1283E">
      <w:pPr>
        <w:pStyle w:val="Prrafodelista"/>
        <w:numPr>
          <w:ilvl w:val="2"/>
          <w:numId w:val="1"/>
        </w:numPr>
        <w:rPr>
          <w:sz w:val="20"/>
          <w:szCs w:val="20"/>
        </w:rPr>
      </w:pPr>
      <w:r w:rsidRPr="002A0446">
        <w:rPr>
          <w:sz w:val="20"/>
          <w:szCs w:val="20"/>
        </w:rPr>
        <w:t>El don de lenguas es la capacidad para hablar lenguas humanas o angélicas desconocidas por la persona (1Co. 13:1). Cuando esta lengua no es conocida por el oyente, necesita interpretación (</w:t>
      </w:r>
      <w:proofErr w:type="spellStart"/>
      <w:r w:rsidRPr="002A0446">
        <w:rPr>
          <w:sz w:val="20"/>
          <w:szCs w:val="20"/>
        </w:rPr>
        <w:t>Hch</w:t>
      </w:r>
      <w:proofErr w:type="spellEnd"/>
      <w:r w:rsidRPr="002A0446">
        <w:rPr>
          <w:sz w:val="20"/>
          <w:szCs w:val="20"/>
        </w:rPr>
        <w:t>. 2:8; 1Co. 14:2, 13-14, 27-28).</w:t>
      </w:r>
    </w:p>
    <w:p w14:paraId="0EB3EDEE" w14:textId="74F01D46" w:rsidR="00D1283E" w:rsidRPr="002A0446" w:rsidRDefault="00D1283E" w:rsidP="00D1283E">
      <w:pPr>
        <w:pStyle w:val="Prrafodelista"/>
        <w:numPr>
          <w:ilvl w:val="2"/>
          <w:numId w:val="1"/>
        </w:numPr>
        <w:rPr>
          <w:sz w:val="20"/>
          <w:szCs w:val="20"/>
        </w:rPr>
      </w:pPr>
      <w:r w:rsidRPr="002A0446">
        <w:rPr>
          <w:sz w:val="20"/>
          <w:szCs w:val="20"/>
        </w:rPr>
        <w:t>El anhelo de Pablo de que todos hablasen en lenguas ha sido malinterpretado por aquellos que piensan que todos debemos tener ese don (1Co. 14:5).</w:t>
      </w:r>
    </w:p>
    <w:p w14:paraId="1F731C12" w14:textId="07CD6201" w:rsidR="00D1283E" w:rsidRPr="002A0446" w:rsidRDefault="00D1283E" w:rsidP="00D1283E">
      <w:pPr>
        <w:pStyle w:val="Prrafodelista"/>
        <w:numPr>
          <w:ilvl w:val="2"/>
          <w:numId w:val="1"/>
        </w:numPr>
        <w:rPr>
          <w:sz w:val="20"/>
          <w:szCs w:val="20"/>
        </w:rPr>
      </w:pPr>
      <w:r w:rsidRPr="002A0446">
        <w:rPr>
          <w:sz w:val="20"/>
          <w:szCs w:val="20"/>
        </w:rPr>
        <w:t xml:space="preserve">En realidad, este anhelo incluye a todos los dones (1Co. 14:1). Pablo ya había dejado claro que “a cada uno se le da una manifestación [don] especial del Espíritu para el bien de los demás” (1Co. 12:7 </w:t>
      </w:r>
      <w:proofErr w:type="spellStart"/>
      <w:r w:rsidRPr="002A0446">
        <w:rPr>
          <w:sz w:val="16"/>
          <w:szCs w:val="16"/>
        </w:rPr>
        <w:t>NVI</w:t>
      </w:r>
      <w:proofErr w:type="spellEnd"/>
      <w:r w:rsidRPr="002A0446">
        <w:rPr>
          <w:sz w:val="20"/>
          <w:szCs w:val="20"/>
        </w:rPr>
        <w:t>). Por lo tanto, no todos reciben los mismos dones.</w:t>
      </w:r>
    </w:p>
    <w:p w14:paraId="6F892B4B" w14:textId="522AAD1B" w:rsidR="00395C43" w:rsidRPr="002A0446" w:rsidRDefault="00D170BE" w:rsidP="00D170BE">
      <w:pPr>
        <w:pStyle w:val="Prrafodelista"/>
        <w:numPr>
          <w:ilvl w:val="1"/>
          <w:numId w:val="1"/>
        </w:numPr>
        <w:rPr>
          <w:b/>
          <w:bCs/>
          <w:sz w:val="20"/>
          <w:szCs w:val="20"/>
        </w:rPr>
      </w:pPr>
      <w:r w:rsidRPr="002A0446">
        <w:rPr>
          <w:b/>
          <w:bCs/>
          <w:sz w:val="20"/>
          <w:szCs w:val="20"/>
        </w:rPr>
        <w:t>El don de profecía.</w:t>
      </w:r>
    </w:p>
    <w:p w14:paraId="389DFE52" w14:textId="77CFCBBC" w:rsidR="00D1283E" w:rsidRPr="002A0446" w:rsidRDefault="004F4301" w:rsidP="004F4301">
      <w:pPr>
        <w:pStyle w:val="Prrafodelista"/>
        <w:numPr>
          <w:ilvl w:val="2"/>
          <w:numId w:val="1"/>
        </w:numPr>
        <w:rPr>
          <w:sz w:val="20"/>
          <w:szCs w:val="20"/>
        </w:rPr>
      </w:pPr>
      <w:r w:rsidRPr="002A0446">
        <w:rPr>
          <w:sz w:val="20"/>
          <w:szCs w:val="20"/>
        </w:rPr>
        <w:t>No debemos limitar el don de profecía a la predicción de eventos futuros. El uso principal del don de profecía es el de la edificación, la exhortación y la consolación (1Co. 14:3).</w:t>
      </w:r>
    </w:p>
    <w:p w14:paraId="3F2CDC64" w14:textId="03287652" w:rsidR="004F4301" w:rsidRPr="002A0446" w:rsidRDefault="004F4301" w:rsidP="004F4301">
      <w:pPr>
        <w:pStyle w:val="Prrafodelista"/>
        <w:numPr>
          <w:ilvl w:val="2"/>
          <w:numId w:val="1"/>
        </w:numPr>
        <w:rPr>
          <w:sz w:val="20"/>
          <w:szCs w:val="20"/>
        </w:rPr>
      </w:pPr>
      <w:r w:rsidRPr="002A0446">
        <w:rPr>
          <w:sz w:val="20"/>
          <w:szCs w:val="20"/>
        </w:rPr>
        <w:t>Pablo resalta este don por encima de otros (1Co. 14:1, 4, 22-25). Pero también exhorta a que sea usado correctamente para no crear confusión: “pero hágase todo decentemente y con orden”</w:t>
      </w:r>
      <w:r w:rsidRPr="002A0446">
        <w:rPr>
          <w:sz w:val="20"/>
          <w:szCs w:val="20"/>
        </w:rPr>
        <w:t xml:space="preserve"> </w:t>
      </w:r>
      <w:r w:rsidRPr="002A0446">
        <w:rPr>
          <w:sz w:val="20"/>
          <w:szCs w:val="20"/>
        </w:rPr>
        <w:t>(1Co. 14:40; ver 1Co. 14:29-33).</w:t>
      </w:r>
    </w:p>
    <w:p w14:paraId="75592EBE" w14:textId="77777777" w:rsidR="004F4301" w:rsidRPr="002A0446" w:rsidRDefault="004F4301" w:rsidP="004F4301">
      <w:pPr>
        <w:pStyle w:val="Prrafodelista"/>
        <w:numPr>
          <w:ilvl w:val="2"/>
          <w:numId w:val="1"/>
        </w:numPr>
        <w:rPr>
          <w:sz w:val="20"/>
          <w:szCs w:val="20"/>
        </w:rPr>
      </w:pPr>
      <w:r w:rsidRPr="002A0446">
        <w:rPr>
          <w:sz w:val="20"/>
          <w:szCs w:val="20"/>
        </w:rPr>
        <w:t>Como don característico de la iglesia remanente, tuvo su manifestación especial en la vida y obra de Elena G. White (Ap. 12:17; 19:10).</w:t>
      </w:r>
    </w:p>
    <w:p w14:paraId="0BA17CA2" w14:textId="6EE28873" w:rsidR="004F4301" w:rsidRPr="002A0446" w:rsidRDefault="004F4301" w:rsidP="004F4301">
      <w:pPr>
        <w:pStyle w:val="Prrafodelista"/>
        <w:numPr>
          <w:ilvl w:val="2"/>
          <w:numId w:val="1"/>
        </w:numPr>
        <w:rPr>
          <w:sz w:val="20"/>
          <w:szCs w:val="20"/>
        </w:rPr>
      </w:pPr>
      <w:r w:rsidRPr="002A0446">
        <w:rPr>
          <w:sz w:val="20"/>
          <w:szCs w:val="20"/>
        </w:rPr>
        <w:t>¿</w:t>
      </w:r>
      <w:r w:rsidRPr="002A0446">
        <w:rPr>
          <w:sz w:val="20"/>
          <w:szCs w:val="20"/>
        </w:rPr>
        <w:t>C</w:t>
      </w:r>
      <w:r w:rsidRPr="002A0446">
        <w:rPr>
          <w:sz w:val="20"/>
          <w:szCs w:val="20"/>
        </w:rPr>
        <w:t>ómo reconocer a un verdadero profeta?</w:t>
      </w:r>
    </w:p>
    <w:p w14:paraId="28E362CD" w14:textId="77777777" w:rsidR="004F4301" w:rsidRPr="002A0446" w:rsidRDefault="004F4301" w:rsidP="004F4301">
      <w:pPr>
        <w:pStyle w:val="Prrafodelista"/>
        <w:numPr>
          <w:ilvl w:val="3"/>
          <w:numId w:val="1"/>
        </w:numPr>
        <w:rPr>
          <w:sz w:val="20"/>
          <w:szCs w:val="20"/>
        </w:rPr>
      </w:pPr>
      <w:r w:rsidRPr="002A0446">
        <w:rPr>
          <w:sz w:val="20"/>
          <w:szCs w:val="20"/>
        </w:rPr>
        <w:t>Los eventos futuros anunciados –si no son condicionales– deben cumplirse (</w:t>
      </w:r>
      <w:proofErr w:type="spellStart"/>
      <w:r w:rsidRPr="002A0446">
        <w:rPr>
          <w:sz w:val="20"/>
          <w:szCs w:val="20"/>
        </w:rPr>
        <w:t>Dt</w:t>
      </w:r>
      <w:proofErr w:type="spellEnd"/>
      <w:r w:rsidRPr="002A0446">
        <w:rPr>
          <w:sz w:val="20"/>
          <w:szCs w:val="20"/>
        </w:rPr>
        <w:t>. 18:22; Jer. 28:8-9; Jonás 4:2)</w:t>
      </w:r>
    </w:p>
    <w:p w14:paraId="05C3558C" w14:textId="63D2B8FB" w:rsidR="004F4301" w:rsidRPr="002A0446" w:rsidRDefault="004F4301" w:rsidP="004F4301">
      <w:pPr>
        <w:pStyle w:val="Prrafodelista"/>
        <w:numPr>
          <w:ilvl w:val="3"/>
          <w:numId w:val="1"/>
        </w:numPr>
        <w:rPr>
          <w:sz w:val="20"/>
          <w:szCs w:val="20"/>
        </w:rPr>
      </w:pPr>
      <w:r w:rsidRPr="002A0446">
        <w:rPr>
          <w:sz w:val="20"/>
          <w:szCs w:val="20"/>
        </w:rPr>
        <w:t>Su mensaje debe concordar con el de los profetas anteriores</w:t>
      </w:r>
      <w:r w:rsidRPr="002A0446">
        <w:rPr>
          <w:sz w:val="20"/>
          <w:szCs w:val="20"/>
        </w:rPr>
        <w:t xml:space="preserve"> </w:t>
      </w:r>
      <w:r w:rsidRPr="002A0446">
        <w:rPr>
          <w:sz w:val="20"/>
          <w:szCs w:val="20"/>
        </w:rPr>
        <w:t>(</w:t>
      </w:r>
      <w:proofErr w:type="spellStart"/>
      <w:r w:rsidRPr="002A0446">
        <w:rPr>
          <w:sz w:val="20"/>
          <w:szCs w:val="20"/>
        </w:rPr>
        <w:t>Dt</w:t>
      </w:r>
      <w:proofErr w:type="spellEnd"/>
      <w:r w:rsidRPr="002A0446">
        <w:rPr>
          <w:sz w:val="20"/>
          <w:szCs w:val="20"/>
        </w:rPr>
        <w:t xml:space="preserve">. 13:1-3; </w:t>
      </w:r>
      <w:proofErr w:type="spellStart"/>
      <w:r w:rsidRPr="002A0446">
        <w:rPr>
          <w:sz w:val="20"/>
          <w:szCs w:val="20"/>
        </w:rPr>
        <w:t>Is</w:t>
      </w:r>
      <w:proofErr w:type="spellEnd"/>
      <w:r w:rsidRPr="002A0446">
        <w:rPr>
          <w:sz w:val="20"/>
          <w:szCs w:val="20"/>
        </w:rPr>
        <w:t>. 8:20)</w:t>
      </w:r>
    </w:p>
    <w:p w14:paraId="1AAAE60D" w14:textId="5976AA28" w:rsidR="004F4301" w:rsidRPr="002A0446" w:rsidRDefault="004F4301" w:rsidP="004F4301">
      <w:pPr>
        <w:pStyle w:val="Prrafodelista"/>
        <w:numPr>
          <w:ilvl w:val="3"/>
          <w:numId w:val="1"/>
        </w:numPr>
        <w:rPr>
          <w:sz w:val="20"/>
          <w:szCs w:val="20"/>
        </w:rPr>
      </w:pPr>
      <w:r w:rsidRPr="002A0446">
        <w:rPr>
          <w:sz w:val="20"/>
          <w:szCs w:val="20"/>
        </w:rPr>
        <w:t>Debe dar testimonio de la encarnación de Jesús</w:t>
      </w:r>
      <w:r w:rsidRPr="002A0446">
        <w:rPr>
          <w:sz w:val="20"/>
          <w:szCs w:val="20"/>
        </w:rPr>
        <w:t xml:space="preserve"> </w:t>
      </w:r>
      <w:r w:rsidRPr="002A0446">
        <w:rPr>
          <w:sz w:val="20"/>
          <w:szCs w:val="20"/>
        </w:rPr>
        <w:t>(1Jn. 4:1-3)</w:t>
      </w:r>
    </w:p>
    <w:p w14:paraId="31525FA7" w14:textId="294834E0" w:rsidR="004F4301" w:rsidRPr="002A0446" w:rsidRDefault="004F4301" w:rsidP="004F4301">
      <w:pPr>
        <w:pStyle w:val="Prrafodelista"/>
        <w:numPr>
          <w:ilvl w:val="3"/>
          <w:numId w:val="1"/>
        </w:numPr>
        <w:rPr>
          <w:sz w:val="20"/>
          <w:szCs w:val="20"/>
        </w:rPr>
      </w:pPr>
      <w:r w:rsidRPr="002A0446">
        <w:rPr>
          <w:sz w:val="20"/>
          <w:szCs w:val="20"/>
        </w:rPr>
        <w:t>Su vida debe estar en concordancia con el mensaje bíblico que predica (Mt. 7:15-20)</w:t>
      </w:r>
    </w:p>
    <w:sectPr w:rsidR="004F4301" w:rsidRPr="002A0446" w:rsidSect="002A0446">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AFD"/>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730E3D29"/>
    <w:multiLevelType w:val="multilevel"/>
    <w:tmpl w:val="496C1F7C"/>
    <w:lvl w:ilvl="0">
      <w:start w:val="1"/>
      <w:numFmt w:val="bullet"/>
      <w:lvlText w:val="—"/>
      <w:lvlJc w:val="left"/>
      <w:pPr>
        <w:ind w:left="1068" w:hanging="360"/>
      </w:pPr>
      <w:rPr>
        <w:rFonts w:ascii="Calibri" w:hAnsi="Calibri" w:hint="default"/>
      </w:rPr>
    </w:lvl>
    <w:lvl w:ilvl="1">
      <w:start w:val="1"/>
      <w:numFmt w:val="bullet"/>
      <w:lvlRestart w:val="0"/>
      <w:lvlText w:val=""/>
      <w:lvlJc w:val="left"/>
      <w:pPr>
        <w:ind w:left="1428" w:hanging="360"/>
      </w:pPr>
      <w:rPr>
        <w:rFonts w:ascii="Wingdings" w:hAnsi="Wingdings" w:hint="default"/>
      </w:rPr>
    </w:lvl>
    <w:lvl w:ilvl="2">
      <w:start w:val="1"/>
      <w:numFmt w:val="bullet"/>
      <w:lvlText w:val="—"/>
      <w:lvlJc w:val="left"/>
      <w:pPr>
        <w:ind w:left="1788" w:hanging="360"/>
      </w:pPr>
      <w:rPr>
        <w:rFonts w:ascii="Calibri" w:hAnsi="Calibri"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num w:numId="1" w16cid:durableId="324750999">
    <w:abstractNumId w:val="0"/>
  </w:num>
  <w:num w:numId="2" w16cid:durableId="35481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BE"/>
    <w:rsid w:val="00004746"/>
    <w:rsid w:val="000B2AC6"/>
    <w:rsid w:val="000B440E"/>
    <w:rsid w:val="001E4AA8"/>
    <w:rsid w:val="002A0446"/>
    <w:rsid w:val="003036B8"/>
    <w:rsid w:val="00395C43"/>
    <w:rsid w:val="003D5E96"/>
    <w:rsid w:val="0044563A"/>
    <w:rsid w:val="004D5CB2"/>
    <w:rsid w:val="004F4301"/>
    <w:rsid w:val="005C3DAD"/>
    <w:rsid w:val="006B286A"/>
    <w:rsid w:val="00711123"/>
    <w:rsid w:val="008349BC"/>
    <w:rsid w:val="00AB406A"/>
    <w:rsid w:val="00BA3EAE"/>
    <w:rsid w:val="00C22FAD"/>
    <w:rsid w:val="00C46A68"/>
    <w:rsid w:val="00D1283E"/>
    <w:rsid w:val="00D170BE"/>
    <w:rsid w:val="00DE22E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BF57"/>
  <w15:chartTrackingRefBased/>
  <w15:docId w15:val="{4AF83187-083A-4467-BEBF-8930FC15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D17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0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0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0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0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0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0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0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D170B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D170B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D170B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D170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D170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D170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D170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D170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D170B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D17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0B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D170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0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D170BE"/>
    <w:pPr>
      <w:spacing w:before="160"/>
      <w:jc w:val="center"/>
    </w:pPr>
    <w:rPr>
      <w:i/>
      <w:iCs/>
      <w:color w:val="404040" w:themeColor="text1" w:themeTint="BF"/>
    </w:rPr>
  </w:style>
  <w:style w:type="character" w:customStyle="1" w:styleId="CitaCar">
    <w:name w:val="Cita Car"/>
    <w:basedOn w:val="Fuentedeprrafopredeter"/>
    <w:link w:val="Cita"/>
    <w:uiPriority w:val="29"/>
    <w:rsid w:val="00D170BE"/>
    <w:rPr>
      <w:i/>
      <w:iCs/>
      <w:color w:val="404040" w:themeColor="text1" w:themeTint="BF"/>
      <w:kern w:val="0"/>
      <w:sz w:val="24"/>
      <w14:ligatures w14:val="none"/>
    </w:rPr>
  </w:style>
  <w:style w:type="paragraph" w:styleId="Prrafodelista">
    <w:name w:val="List Paragraph"/>
    <w:basedOn w:val="Normal"/>
    <w:uiPriority w:val="34"/>
    <w:qFormat/>
    <w:rsid w:val="00D170BE"/>
    <w:pPr>
      <w:ind w:left="720"/>
      <w:contextualSpacing/>
    </w:pPr>
  </w:style>
  <w:style w:type="character" w:styleId="nfasisintenso">
    <w:name w:val="Intense Emphasis"/>
    <w:basedOn w:val="Fuentedeprrafopredeter"/>
    <w:uiPriority w:val="21"/>
    <w:qFormat/>
    <w:rsid w:val="00D170BE"/>
    <w:rPr>
      <w:i/>
      <w:iCs/>
      <w:color w:val="0F4761" w:themeColor="accent1" w:themeShade="BF"/>
    </w:rPr>
  </w:style>
  <w:style w:type="paragraph" w:styleId="Citadestacada">
    <w:name w:val="Intense Quote"/>
    <w:basedOn w:val="Normal"/>
    <w:next w:val="Normal"/>
    <w:link w:val="CitadestacadaCar"/>
    <w:uiPriority w:val="30"/>
    <w:qFormat/>
    <w:rsid w:val="00D17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0BE"/>
    <w:rPr>
      <w:i/>
      <w:iCs/>
      <w:color w:val="0F4761" w:themeColor="accent1" w:themeShade="BF"/>
      <w:kern w:val="0"/>
      <w:sz w:val="24"/>
      <w14:ligatures w14:val="none"/>
    </w:rPr>
  </w:style>
  <w:style w:type="character" w:styleId="Referenciaintensa">
    <w:name w:val="Intense Reference"/>
    <w:basedOn w:val="Fuentedeprrafopredeter"/>
    <w:uiPriority w:val="32"/>
    <w:qFormat/>
    <w:rsid w:val="00D170BE"/>
    <w:rPr>
      <w:b/>
      <w:bCs/>
      <w:smallCaps/>
      <w:color w:val="0F4761" w:themeColor="accent1" w:themeShade="BF"/>
      <w:spacing w:val="5"/>
    </w:rPr>
  </w:style>
  <w:style w:type="paragraph" w:styleId="NormalWeb">
    <w:name w:val="Normal (Web)"/>
    <w:basedOn w:val="Normal"/>
    <w:uiPriority w:val="99"/>
    <w:semiHidden/>
    <w:unhideWhenUsed/>
    <w:rsid w:val="0044563A"/>
    <w:pPr>
      <w:spacing w:before="100" w:beforeAutospacing="1" w:after="100" w:afterAutospacing="1" w:line="240" w:lineRule="auto"/>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621</Words>
  <Characters>3417</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2026-07-10T13:21:00Z</dcterms:created>
  <dcterms:modified xsi:type="dcterms:W3CDTF">2026-07-10T13:33:00Z</dcterms:modified>
</cp:coreProperties>
</file>