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DAD3" w14:textId="77777777" w:rsidR="007366A1" w:rsidRPr="00805332" w:rsidRDefault="007366A1" w:rsidP="007366A1">
      <w:pPr>
        <w:pStyle w:val="Prrafodelista"/>
        <w:numPr>
          <w:ilvl w:val="0"/>
          <w:numId w:val="1"/>
        </w:numPr>
        <w:rPr>
          <w:b/>
          <w:bCs/>
          <w:szCs w:val="24"/>
        </w:rPr>
      </w:pPr>
      <w:r w:rsidRPr="00805332">
        <w:rPr>
          <w:b/>
          <w:bCs/>
          <w:szCs w:val="24"/>
        </w:rPr>
        <w:t>Interpretar la Biblia con la Biblia</w:t>
      </w:r>
    </w:p>
    <w:p w14:paraId="3892B643" w14:textId="26DD82F5" w:rsidR="00805332" w:rsidRDefault="00805332" w:rsidP="00805332">
      <w:pPr>
        <w:pStyle w:val="Prrafodelista"/>
        <w:numPr>
          <w:ilvl w:val="1"/>
          <w:numId w:val="1"/>
        </w:numPr>
        <w:rPr>
          <w:szCs w:val="24"/>
        </w:rPr>
      </w:pPr>
      <w:r w:rsidRPr="00805332">
        <w:rPr>
          <w:szCs w:val="24"/>
        </w:rPr>
        <w:t>La Biblia es su mejor intérprete.</w:t>
      </w:r>
    </w:p>
    <w:p w14:paraId="2C7D50DE" w14:textId="71A47CC8" w:rsidR="00805332" w:rsidRPr="00805332" w:rsidRDefault="00805332" w:rsidP="00805332">
      <w:pPr>
        <w:pStyle w:val="Prrafodelista"/>
        <w:numPr>
          <w:ilvl w:val="2"/>
          <w:numId w:val="1"/>
        </w:numPr>
        <w:rPr>
          <w:szCs w:val="24"/>
        </w:rPr>
      </w:pPr>
      <w:r w:rsidRPr="00805332">
        <w:rPr>
          <w:i/>
          <w:iCs/>
          <w:szCs w:val="24"/>
          <w:u w:val="single"/>
        </w:rPr>
        <w:t>Interpretada en su propio texto</w:t>
      </w:r>
      <w:r w:rsidRPr="00805332">
        <w:rPr>
          <w:szCs w:val="24"/>
        </w:rPr>
        <w:t>:</w:t>
      </w:r>
      <w:r>
        <w:rPr>
          <w:szCs w:val="24"/>
        </w:rPr>
        <w:t xml:space="preserve"> </w:t>
      </w:r>
      <w:r w:rsidRPr="00805332">
        <w:rPr>
          <w:szCs w:val="24"/>
        </w:rPr>
        <w:t>Por ejemplo, Daniel explica el significado de su visión al decir que las bestias que vio son reinos (Dn. 7:3, 17)</w:t>
      </w:r>
    </w:p>
    <w:p w14:paraId="72448B8F" w14:textId="2839B833" w:rsidR="00805332" w:rsidRPr="00805332" w:rsidRDefault="00805332" w:rsidP="00805332">
      <w:pPr>
        <w:pStyle w:val="Prrafodelista"/>
        <w:numPr>
          <w:ilvl w:val="2"/>
          <w:numId w:val="1"/>
        </w:numPr>
        <w:rPr>
          <w:szCs w:val="24"/>
        </w:rPr>
      </w:pPr>
      <w:r w:rsidRPr="00805332">
        <w:rPr>
          <w:i/>
          <w:iCs/>
          <w:szCs w:val="24"/>
          <w:u w:val="single"/>
        </w:rPr>
        <w:t>Interpretada por otro profeta</w:t>
      </w:r>
      <w:r w:rsidRPr="00805332">
        <w:rPr>
          <w:szCs w:val="24"/>
        </w:rPr>
        <w:t>:</w:t>
      </w:r>
      <w:r>
        <w:rPr>
          <w:szCs w:val="24"/>
        </w:rPr>
        <w:t xml:space="preserve"> </w:t>
      </w:r>
      <w:r w:rsidRPr="00805332">
        <w:rPr>
          <w:szCs w:val="24"/>
        </w:rPr>
        <w:t>Esdras interpretó el significado de los 70 años de la profecía de Jeremías (Jer. 25:11-12; 2Cr. 36:22-23)</w:t>
      </w:r>
    </w:p>
    <w:p w14:paraId="4B5C93CF" w14:textId="21D55925" w:rsidR="00805332" w:rsidRDefault="00805332" w:rsidP="00805332">
      <w:pPr>
        <w:pStyle w:val="Prrafodelista"/>
        <w:numPr>
          <w:ilvl w:val="2"/>
          <w:numId w:val="1"/>
        </w:numPr>
        <w:rPr>
          <w:szCs w:val="24"/>
        </w:rPr>
      </w:pPr>
      <w:r w:rsidRPr="00805332">
        <w:rPr>
          <w:i/>
          <w:iCs/>
          <w:szCs w:val="24"/>
          <w:u w:val="single"/>
        </w:rPr>
        <w:t>El Nuevo Testamento interpreta al Antiguo</w:t>
      </w:r>
      <w:r w:rsidRPr="00805332">
        <w:rPr>
          <w:szCs w:val="24"/>
        </w:rPr>
        <w:t>:</w:t>
      </w:r>
      <w:r>
        <w:rPr>
          <w:szCs w:val="24"/>
        </w:rPr>
        <w:t xml:space="preserve"> </w:t>
      </w:r>
      <w:r w:rsidRPr="00805332">
        <w:rPr>
          <w:szCs w:val="24"/>
        </w:rPr>
        <w:t>Mateo interpretó el nacimiento de Jesús como el cumplimiento de la profecía de Isaías (Is. 7:14; Mt. 1:</w:t>
      </w:r>
      <w:r w:rsidR="00D86C9B">
        <w:rPr>
          <w:szCs w:val="24"/>
        </w:rPr>
        <w:t>22-</w:t>
      </w:r>
      <w:r w:rsidRPr="00805332">
        <w:rPr>
          <w:szCs w:val="24"/>
        </w:rPr>
        <w:t>23)</w:t>
      </w:r>
    </w:p>
    <w:p w14:paraId="6A9E5D07" w14:textId="0821760D" w:rsidR="00844491" w:rsidRPr="00805332" w:rsidRDefault="00844491" w:rsidP="00844491">
      <w:pPr>
        <w:pStyle w:val="Prrafodelista"/>
        <w:numPr>
          <w:ilvl w:val="1"/>
          <w:numId w:val="1"/>
        </w:numPr>
        <w:rPr>
          <w:szCs w:val="24"/>
        </w:rPr>
      </w:pPr>
      <w:r w:rsidRPr="00844491">
        <w:rPr>
          <w:szCs w:val="24"/>
        </w:rPr>
        <w:t>Jesús no solo interpretó al Antiguo Testamento, sino que le dio su verdadero sentido, yendo más allá de su sentido literal</w:t>
      </w:r>
      <w:r>
        <w:rPr>
          <w:szCs w:val="24"/>
        </w:rPr>
        <w:t xml:space="preserve"> (Mateo 5)</w:t>
      </w:r>
      <w:r w:rsidRPr="00844491">
        <w:rPr>
          <w:szCs w:val="24"/>
        </w:rPr>
        <w:t>.</w:t>
      </w:r>
    </w:p>
    <w:p w14:paraId="1ABDCD8F" w14:textId="77777777" w:rsidR="007366A1" w:rsidRPr="00C85F49" w:rsidRDefault="007366A1" w:rsidP="007366A1">
      <w:pPr>
        <w:pStyle w:val="Prrafodelista"/>
        <w:numPr>
          <w:ilvl w:val="0"/>
          <w:numId w:val="1"/>
        </w:numPr>
        <w:rPr>
          <w:b/>
          <w:bCs/>
          <w:szCs w:val="24"/>
        </w:rPr>
      </w:pPr>
      <w:r w:rsidRPr="00C85F49">
        <w:rPr>
          <w:b/>
          <w:bCs/>
          <w:szCs w:val="24"/>
        </w:rPr>
        <w:t>El contexto histórico</w:t>
      </w:r>
    </w:p>
    <w:p w14:paraId="1746965D" w14:textId="481EA8E8" w:rsidR="00C85F49" w:rsidRDefault="00C85F49" w:rsidP="00C85F49">
      <w:pPr>
        <w:pStyle w:val="Prrafodelista"/>
        <w:numPr>
          <w:ilvl w:val="1"/>
          <w:numId w:val="1"/>
        </w:numPr>
        <w:rPr>
          <w:szCs w:val="24"/>
        </w:rPr>
      </w:pPr>
      <w:r w:rsidRPr="00C85F49">
        <w:rPr>
          <w:szCs w:val="24"/>
        </w:rPr>
        <w:t>¿Morirán niños y habrá pecadores en la tierra nueva? (Is. 65:17-20)</w:t>
      </w:r>
    </w:p>
    <w:p w14:paraId="476C0668" w14:textId="1FE665B4" w:rsidR="00C85F49" w:rsidRDefault="00C85F49" w:rsidP="00C85F49">
      <w:pPr>
        <w:pStyle w:val="Prrafodelista"/>
        <w:numPr>
          <w:ilvl w:val="1"/>
          <w:numId w:val="1"/>
        </w:numPr>
        <w:rPr>
          <w:szCs w:val="24"/>
        </w:rPr>
      </w:pPr>
      <w:r w:rsidRPr="00C85F49">
        <w:rPr>
          <w:szCs w:val="24"/>
        </w:rPr>
        <w:t>Interpretada a la luz de las profecías apocalípticas del Nuevo Testamento, la profecía de Isaías no solo es chocante, sino contradictoria (Ap. 21:1-4).</w:t>
      </w:r>
    </w:p>
    <w:p w14:paraId="4B177334" w14:textId="4149A3B4" w:rsidR="00C85F49" w:rsidRDefault="00C85F49" w:rsidP="00C85F49">
      <w:pPr>
        <w:pStyle w:val="Prrafodelista"/>
        <w:numPr>
          <w:ilvl w:val="1"/>
          <w:numId w:val="1"/>
        </w:numPr>
        <w:rPr>
          <w:szCs w:val="24"/>
        </w:rPr>
      </w:pPr>
      <w:r w:rsidRPr="00C85F49">
        <w:rPr>
          <w:szCs w:val="24"/>
        </w:rPr>
        <w:t>Debemos entender que uno es el contexto histórico de Isaías y otro el de Apocalipsis. Isaías hablaba del futuro de Israel cuando éste aceptase al Mesías. En tiempo de Juan, sin embargo, Israel había rechazado al Mesías. El contexto había cambiado.</w:t>
      </w:r>
    </w:p>
    <w:p w14:paraId="2E2796FA" w14:textId="32AB08DA" w:rsidR="00C85F49" w:rsidRDefault="00C85F49" w:rsidP="00C85F49">
      <w:pPr>
        <w:pStyle w:val="Prrafodelista"/>
        <w:numPr>
          <w:ilvl w:val="1"/>
          <w:numId w:val="1"/>
        </w:numPr>
        <w:rPr>
          <w:szCs w:val="24"/>
        </w:rPr>
      </w:pPr>
      <w:r w:rsidRPr="00C85F49">
        <w:rPr>
          <w:szCs w:val="24"/>
        </w:rPr>
        <w:t>Si Israel hubiera aceptado al Mesías, habría habido un cambio importante: la redención y la transformación de la Tierra y de la humanidad comenzaría paulatinamente. Los hombres santos tendrían una vida tan longeva como los árboles (Is. 65:22), y los animales serían menos agresivos en tierra santa (Is. 65:25).</w:t>
      </w:r>
    </w:p>
    <w:p w14:paraId="14D88C64" w14:textId="7C8700F2" w:rsidR="00C85F49" w:rsidRPr="007366A1" w:rsidRDefault="00C85F49" w:rsidP="00C85F49">
      <w:pPr>
        <w:pStyle w:val="Prrafodelista"/>
        <w:numPr>
          <w:ilvl w:val="1"/>
          <w:numId w:val="1"/>
        </w:numPr>
        <w:rPr>
          <w:szCs w:val="24"/>
        </w:rPr>
      </w:pPr>
      <w:r w:rsidRPr="00C85F49">
        <w:rPr>
          <w:szCs w:val="24"/>
        </w:rPr>
        <w:t>Luego, al final, los muertos resucitarían y la muerte dejaría de existir</w:t>
      </w:r>
      <w:r w:rsidRPr="00C85F49">
        <w:rPr>
          <w:szCs w:val="24"/>
        </w:rPr>
        <w:br/>
        <w:t>(Is. 26:19; 25:8). Solo esta última parte de las profecías de Isaías se cumplirá literalmente, puesto que no depende de la decisión de Israel.</w:t>
      </w:r>
    </w:p>
    <w:p w14:paraId="7E83B8EB" w14:textId="77777777" w:rsidR="007366A1" w:rsidRPr="00582626" w:rsidRDefault="007366A1" w:rsidP="007366A1">
      <w:pPr>
        <w:pStyle w:val="Prrafodelista"/>
        <w:numPr>
          <w:ilvl w:val="0"/>
          <w:numId w:val="1"/>
        </w:numPr>
        <w:rPr>
          <w:b/>
          <w:bCs/>
          <w:szCs w:val="24"/>
        </w:rPr>
      </w:pPr>
      <w:r w:rsidRPr="00582626">
        <w:rPr>
          <w:b/>
          <w:bCs/>
          <w:szCs w:val="24"/>
        </w:rPr>
        <w:t>El contexto cultural</w:t>
      </w:r>
    </w:p>
    <w:p w14:paraId="1A24AB86" w14:textId="3FC24720" w:rsidR="00582626" w:rsidRDefault="00582626" w:rsidP="00582626">
      <w:pPr>
        <w:pStyle w:val="Prrafodelista"/>
        <w:numPr>
          <w:ilvl w:val="1"/>
          <w:numId w:val="1"/>
        </w:numPr>
        <w:rPr>
          <w:szCs w:val="24"/>
        </w:rPr>
      </w:pPr>
      <w:r w:rsidRPr="00582626">
        <w:rPr>
          <w:szCs w:val="24"/>
        </w:rPr>
        <w:t>En el imperio romano, al igual que en muchos lugares en la actualidad, saludarse con un beso en la mejilla era algo natural. En ese contexto cultural, el consejo de Pablo era correcto (1Co. 16:20).</w:t>
      </w:r>
    </w:p>
    <w:p w14:paraId="53C71823" w14:textId="36D79D43" w:rsidR="00582626" w:rsidRDefault="00582626" w:rsidP="00582626">
      <w:pPr>
        <w:pStyle w:val="Prrafodelista"/>
        <w:numPr>
          <w:ilvl w:val="1"/>
          <w:numId w:val="1"/>
        </w:numPr>
        <w:rPr>
          <w:szCs w:val="24"/>
        </w:rPr>
      </w:pPr>
      <w:r w:rsidRPr="00582626">
        <w:rPr>
          <w:szCs w:val="24"/>
        </w:rPr>
        <w:t>Sin embargo, en la cultura japonesa –por ejemplo–, el contacto físico en público se evita de manera general, por lo que suele generar sorpresa, extrañeza o incomodidad en la mayoría de las personas.</w:t>
      </w:r>
    </w:p>
    <w:p w14:paraId="36A0FFAD" w14:textId="539D64E3" w:rsidR="00582626" w:rsidRDefault="00582626" w:rsidP="00582626">
      <w:pPr>
        <w:pStyle w:val="Prrafodelista"/>
        <w:numPr>
          <w:ilvl w:val="1"/>
          <w:numId w:val="1"/>
        </w:numPr>
        <w:rPr>
          <w:szCs w:val="24"/>
        </w:rPr>
      </w:pPr>
      <w:r w:rsidRPr="00582626">
        <w:rPr>
          <w:szCs w:val="24"/>
        </w:rPr>
        <w:t>Dado que, en ese contexto cultural, seguir el consejo de Pablo generará rechazo en las personas, debemos extrapolar su consejo adaptándolo a su contexto.</w:t>
      </w:r>
    </w:p>
    <w:p w14:paraId="668BBFB8" w14:textId="419B4DB0" w:rsidR="00582626" w:rsidRPr="007366A1" w:rsidRDefault="00582626" w:rsidP="00582626">
      <w:pPr>
        <w:pStyle w:val="Prrafodelista"/>
        <w:numPr>
          <w:ilvl w:val="1"/>
          <w:numId w:val="1"/>
        </w:numPr>
        <w:rPr>
          <w:szCs w:val="24"/>
        </w:rPr>
      </w:pPr>
      <w:r w:rsidRPr="00582626">
        <w:rPr>
          <w:szCs w:val="24"/>
        </w:rPr>
        <w:t>Si estamos en Japón, o en otros lugares del mundo</w:t>
      </w:r>
      <w:r>
        <w:rPr>
          <w:szCs w:val="24"/>
        </w:rPr>
        <w:t xml:space="preserve"> (Tailandia, Tibet, Nueva Zelanda, …)</w:t>
      </w:r>
      <w:r w:rsidRPr="00582626">
        <w:rPr>
          <w:szCs w:val="24"/>
        </w:rPr>
        <w:t>, saludémonos entre los hermanos con el saludo culturalmente correcto, demostrando de esa manera nuestro afecto fraternal.</w:t>
      </w:r>
    </w:p>
    <w:p w14:paraId="1E5A04A3" w14:textId="77777777" w:rsidR="007366A1" w:rsidRPr="004819DE" w:rsidRDefault="007366A1" w:rsidP="007366A1">
      <w:pPr>
        <w:pStyle w:val="Prrafodelista"/>
        <w:numPr>
          <w:ilvl w:val="0"/>
          <w:numId w:val="1"/>
        </w:numPr>
        <w:rPr>
          <w:b/>
          <w:bCs/>
          <w:szCs w:val="24"/>
        </w:rPr>
      </w:pPr>
      <w:r w:rsidRPr="004819DE">
        <w:rPr>
          <w:b/>
          <w:bCs/>
          <w:szCs w:val="24"/>
        </w:rPr>
        <w:t>El contexto literario</w:t>
      </w:r>
    </w:p>
    <w:p w14:paraId="11B1EF5A" w14:textId="41F39D99" w:rsidR="004819DE" w:rsidRDefault="004819DE" w:rsidP="004819DE">
      <w:pPr>
        <w:pStyle w:val="Prrafodelista"/>
        <w:numPr>
          <w:ilvl w:val="1"/>
          <w:numId w:val="1"/>
        </w:numPr>
        <w:rPr>
          <w:szCs w:val="24"/>
        </w:rPr>
      </w:pPr>
      <w:r w:rsidRPr="004819DE">
        <w:rPr>
          <w:szCs w:val="24"/>
        </w:rPr>
        <w:t>Un dicho popular dice que “un texto sin contexto es un pretexto”. Es decir, usar un texto de forma aislada nos puede llevar a una interpretación personalizada a nuestro gusto y, generalmente, muy lejos de la enseñanza bíblica correcta.</w:t>
      </w:r>
    </w:p>
    <w:p w14:paraId="19AE5488" w14:textId="04FAF77C" w:rsidR="004819DE" w:rsidRDefault="004819DE" w:rsidP="004819DE">
      <w:pPr>
        <w:pStyle w:val="Prrafodelista"/>
        <w:numPr>
          <w:ilvl w:val="1"/>
          <w:numId w:val="1"/>
        </w:numPr>
        <w:rPr>
          <w:szCs w:val="24"/>
        </w:rPr>
      </w:pPr>
      <w:r w:rsidRPr="004819DE">
        <w:rPr>
          <w:szCs w:val="24"/>
        </w:rPr>
        <w:t>¿Cuál es el contexto de un texto bíblico?</w:t>
      </w:r>
    </w:p>
    <w:p w14:paraId="08D8260D" w14:textId="77777777" w:rsidR="004819DE" w:rsidRDefault="004819DE" w:rsidP="004819DE">
      <w:pPr>
        <w:pStyle w:val="Prrafodelista"/>
        <w:numPr>
          <w:ilvl w:val="2"/>
          <w:numId w:val="1"/>
        </w:numPr>
        <w:rPr>
          <w:szCs w:val="24"/>
        </w:rPr>
      </w:pPr>
      <w:r w:rsidRPr="004819DE">
        <w:rPr>
          <w:szCs w:val="24"/>
        </w:rPr>
        <w:t>El contexto inmediato son los versículos anteriores y posteriores al texto.</w:t>
      </w:r>
    </w:p>
    <w:p w14:paraId="12E9B246" w14:textId="77777777" w:rsidR="004819DE" w:rsidRDefault="004819DE" w:rsidP="004819DE">
      <w:pPr>
        <w:pStyle w:val="Prrafodelista"/>
        <w:numPr>
          <w:ilvl w:val="2"/>
          <w:numId w:val="1"/>
        </w:numPr>
        <w:rPr>
          <w:szCs w:val="24"/>
        </w:rPr>
      </w:pPr>
      <w:r w:rsidRPr="004819DE">
        <w:rPr>
          <w:szCs w:val="24"/>
        </w:rPr>
        <w:t>Un contexto más amplio es el capítulo donde está el texto.</w:t>
      </w:r>
    </w:p>
    <w:p w14:paraId="5A276DDD" w14:textId="7A89C8CF" w:rsidR="004819DE" w:rsidRDefault="004819DE" w:rsidP="004819DE">
      <w:pPr>
        <w:pStyle w:val="Prrafodelista"/>
        <w:numPr>
          <w:ilvl w:val="2"/>
          <w:numId w:val="1"/>
        </w:numPr>
        <w:rPr>
          <w:szCs w:val="24"/>
        </w:rPr>
      </w:pPr>
      <w:r w:rsidRPr="004819DE">
        <w:rPr>
          <w:szCs w:val="24"/>
        </w:rPr>
        <w:t>Podemos ampliar aún más el contexto teniendo en cuenta el libro completo en el que se encuentra.</w:t>
      </w:r>
    </w:p>
    <w:p w14:paraId="170CA0A4" w14:textId="6AE34A6F" w:rsidR="004819DE" w:rsidRPr="007366A1" w:rsidRDefault="004819DE" w:rsidP="004819DE">
      <w:pPr>
        <w:pStyle w:val="Prrafodelista"/>
        <w:numPr>
          <w:ilvl w:val="1"/>
          <w:numId w:val="1"/>
        </w:numPr>
        <w:rPr>
          <w:szCs w:val="24"/>
        </w:rPr>
      </w:pPr>
      <w:r w:rsidRPr="004819DE">
        <w:rPr>
          <w:szCs w:val="24"/>
        </w:rPr>
        <w:t>Salmo 91:11-12 habla de la protección de Dios ante peligros externos. Sacándolo de contexto y citándolo de forma incompleta, Satanás pretendió que Jesús se pusiese deliberadamente en peligro amparándose en este texto (Mt. 4:6).</w:t>
      </w:r>
    </w:p>
    <w:p w14:paraId="7E709F07" w14:textId="77777777" w:rsidR="007366A1" w:rsidRPr="007770EC" w:rsidRDefault="007366A1" w:rsidP="007366A1">
      <w:pPr>
        <w:pStyle w:val="Prrafodelista"/>
        <w:numPr>
          <w:ilvl w:val="0"/>
          <w:numId w:val="1"/>
        </w:numPr>
        <w:rPr>
          <w:b/>
          <w:bCs/>
          <w:szCs w:val="24"/>
        </w:rPr>
      </w:pPr>
      <w:r w:rsidRPr="007770EC">
        <w:rPr>
          <w:b/>
          <w:bCs/>
          <w:szCs w:val="24"/>
        </w:rPr>
        <w:lastRenderedPageBreak/>
        <w:t>Averiguar el significado del texto</w:t>
      </w:r>
    </w:p>
    <w:p w14:paraId="3C373B94" w14:textId="2BE3BC9D" w:rsidR="007770EC" w:rsidRDefault="007770EC" w:rsidP="007770EC">
      <w:pPr>
        <w:pStyle w:val="Prrafodelista"/>
        <w:numPr>
          <w:ilvl w:val="1"/>
          <w:numId w:val="1"/>
        </w:numPr>
        <w:rPr>
          <w:szCs w:val="24"/>
        </w:rPr>
      </w:pPr>
      <w:r w:rsidRPr="007770EC">
        <w:rPr>
          <w:szCs w:val="24"/>
        </w:rPr>
        <w:t>Todos deben entender la Biblia por sí mismos. Ella es suficientemente clara como para que todas las personas comprendan el camino de la salvación, pero suficientemente compleja como para desafiar constantemente a las mentes más brillantes. Las Escrituras son un tesoro inagotable de conocimiento acerca de la salvación.</w:t>
      </w:r>
    </w:p>
    <w:p w14:paraId="06D00BB8" w14:textId="76831C08" w:rsidR="007770EC" w:rsidRDefault="007770EC" w:rsidP="007770EC">
      <w:pPr>
        <w:pStyle w:val="Prrafodelista"/>
        <w:numPr>
          <w:ilvl w:val="1"/>
          <w:numId w:val="1"/>
        </w:numPr>
        <w:rPr>
          <w:szCs w:val="24"/>
        </w:rPr>
      </w:pPr>
      <w:r w:rsidRPr="007770EC">
        <w:rPr>
          <w:szCs w:val="24"/>
        </w:rPr>
        <w:t>Pero toda interpretación correcta del texto bíblico debe sujetarse a ciertas normas:</w:t>
      </w:r>
    </w:p>
    <w:p w14:paraId="36D1ED01" w14:textId="77777777" w:rsidR="007770EC" w:rsidRPr="007770EC" w:rsidRDefault="007770EC" w:rsidP="007770EC">
      <w:pPr>
        <w:pStyle w:val="Prrafodelista"/>
        <w:numPr>
          <w:ilvl w:val="2"/>
          <w:numId w:val="1"/>
        </w:numPr>
        <w:rPr>
          <w:szCs w:val="24"/>
        </w:rPr>
      </w:pPr>
      <w:r w:rsidRPr="007770EC">
        <w:rPr>
          <w:szCs w:val="24"/>
        </w:rPr>
        <w:t>Debemos comprender las palabras del texto (si es posible, usando los idiomas originales o diferentes traducciones)</w:t>
      </w:r>
    </w:p>
    <w:p w14:paraId="2E7E1BAD" w14:textId="77777777" w:rsidR="007770EC" w:rsidRPr="007770EC" w:rsidRDefault="007770EC" w:rsidP="007770EC">
      <w:pPr>
        <w:pStyle w:val="Prrafodelista"/>
        <w:numPr>
          <w:ilvl w:val="2"/>
          <w:numId w:val="1"/>
        </w:numPr>
        <w:rPr>
          <w:szCs w:val="24"/>
        </w:rPr>
      </w:pPr>
      <w:r w:rsidRPr="007770EC">
        <w:rPr>
          <w:szCs w:val="24"/>
        </w:rPr>
        <w:t>Respetar todos los contextos del texto (históricos, culturales y literarios)</w:t>
      </w:r>
    </w:p>
    <w:p w14:paraId="36F88D4C" w14:textId="77777777" w:rsidR="007770EC" w:rsidRPr="007770EC" w:rsidRDefault="007770EC" w:rsidP="007770EC">
      <w:pPr>
        <w:pStyle w:val="Prrafodelista"/>
        <w:numPr>
          <w:ilvl w:val="2"/>
          <w:numId w:val="1"/>
        </w:numPr>
        <w:rPr>
          <w:szCs w:val="24"/>
        </w:rPr>
      </w:pPr>
      <w:r w:rsidRPr="007770EC">
        <w:rPr>
          <w:szCs w:val="24"/>
        </w:rPr>
        <w:t>Comparar con pasajes paralelos (como los evangelios), o que traten el mismo tema</w:t>
      </w:r>
    </w:p>
    <w:p w14:paraId="3C17F29E" w14:textId="78516117" w:rsidR="007770EC" w:rsidRPr="007366A1" w:rsidRDefault="007770EC" w:rsidP="007770EC">
      <w:pPr>
        <w:pStyle w:val="Prrafodelista"/>
        <w:numPr>
          <w:ilvl w:val="2"/>
          <w:numId w:val="1"/>
        </w:numPr>
        <w:rPr>
          <w:szCs w:val="24"/>
        </w:rPr>
      </w:pPr>
      <w:r w:rsidRPr="007770EC">
        <w:rPr>
          <w:szCs w:val="24"/>
        </w:rPr>
        <w:t>La interpretación final debe estar en concordancia con la enseñanza del resto de la Biblia</w:t>
      </w:r>
    </w:p>
    <w:p w14:paraId="068E1819" w14:textId="4191CA20" w:rsidR="00395C43" w:rsidRPr="00D55529" w:rsidRDefault="007366A1" w:rsidP="007366A1">
      <w:pPr>
        <w:pStyle w:val="Prrafodelista"/>
        <w:numPr>
          <w:ilvl w:val="0"/>
          <w:numId w:val="1"/>
        </w:numPr>
        <w:rPr>
          <w:b/>
          <w:bCs/>
          <w:szCs w:val="24"/>
        </w:rPr>
      </w:pPr>
      <w:r w:rsidRPr="00D55529">
        <w:rPr>
          <w:b/>
          <w:bCs/>
          <w:szCs w:val="24"/>
        </w:rPr>
        <w:t>Estudio temático de la Biblia</w:t>
      </w:r>
    </w:p>
    <w:p w14:paraId="60B03163" w14:textId="12E3BDAC" w:rsidR="00D55529" w:rsidRDefault="00D55529" w:rsidP="00D55529">
      <w:pPr>
        <w:pStyle w:val="Prrafodelista"/>
        <w:numPr>
          <w:ilvl w:val="1"/>
          <w:numId w:val="1"/>
        </w:numPr>
        <w:rPr>
          <w:szCs w:val="24"/>
        </w:rPr>
      </w:pPr>
      <w:r w:rsidRPr="00D55529">
        <w:rPr>
          <w:szCs w:val="24"/>
        </w:rPr>
        <w:t>Para un cristiano, el estudio de la Biblia no es algo opcional. Debemos crecer siempre en el conocimiento de la voluntad divina, dejándonos guiar por el Espíritu Santo en el estudio de Su Palabra (Jn. 16:13).</w:t>
      </w:r>
    </w:p>
    <w:p w14:paraId="62824D7B" w14:textId="1D537483" w:rsidR="00D55529" w:rsidRDefault="00D55529" w:rsidP="00D55529">
      <w:pPr>
        <w:pStyle w:val="Prrafodelista"/>
        <w:numPr>
          <w:ilvl w:val="1"/>
          <w:numId w:val="1"/>
        </w:numPr>
        <w:rPr>
          <w:szCs w:val="24"/>
        </w:rPr>
      </w:pPr>
      <w:r w:rsidRPr="00D55529">
        <w:rPr>
          <w:szCs w:val="24"/>
        </w:rPr>
        <w:t>Además, debemos estar “siempre preparados para responder a todo el que [nos] pida razón de la esperanza que hay en [nosotros]” (1P 3:15).</w:t>
      </w:r>
    </w:p>
    <w:p w14:paraId="491C1354" w14:textId="16BA361C" w:rsidR="00D55529" w:rsidRDefault="00D55529" w:rsidP="00D55529">
      <w:pPr>
        <w:pStyle w:val="Prrafodelista"/>
        <w:numPr>
          <w:ilvl w:val="1"/>
          <w:numId w:val="1"/>
        </w:numPr>
        <w:rPr>
          <w:szCs w:val="24"/>
        </w:rPr>
      </w:pPr>
      <w:r w:rsidRPr="00D55529">
        <w:rPr>
          <w:szCs w:val="24"/>
        </w:rPr>
        <w:t>Estudiar la Biblia temáticamente nos capacitará para presentar el mensaje a otros, ya sea dando estudios bíblicos o predicando la Palabra.</w:t>
      </w:r>
    </w:p>
    <w:p w14:paraId="4C559F4C" w14:textId="1367AA72" w:rsidR="00D55529" w:rsidRDefault="00D55529" w:rsidP="00D55529">
      <w:pPr>
        <w:pStyle w:val="Prrafodelista"/>
        <w:numPr>
          <w:ilvl w:val="1"/>
          <w:numId w:val="1"/>
        </w:numPr>
        <w:rPr>
          <w:szCs w:val="24"/>
        </w:rPr>
      </w:pPr>
      <w:r w:rsidRPr="00D55529">
        <w:rPr>
          <w:szCs w:val="24"/>
        </w:rPr>
        <w:t>También es importante mantener una actitud humilde para poder aprovechar el conocimiento bíblico de otras personas de las que podemos aprender.</w:t>
      </w:r>
    </w:p>
    <w:p w14:paraId="49C79A50" w14:textId="6E3B38E6" w:rsidR="00D55529" w:rsidRDefault="00D55529" w:rsidP="00D55529">
      <w:pPr>
        <w:pStyle w:val="Prrafodelista"/>
        <w:numPr>
          <w:ilvl w:val="1"/>
          <w:numId w:val="1"/>
        </w:numPr>
        <w:rPr>
          <w:szCs w:val="24"/>
        </w:rPr>
      </w:pPr>
      <w:r w:rsidRPr="00D55529">
        <w:rPr>
          <w:szCs w:val="24"/>
        </w:rPr>
        <w:t>Aunque no conocemos el contenido completo, sabemos que Jesús dio un estudio bíblico a dos personas sobre Su obra mesiánica basándose en diversos pasajes bíblicos (Lc. 24:25-27).</w:t>
      </w:r>
    </w:p>
    <w:p w14:paraId="357F2765" w14:textId="21016E91" w:rsidR="00D55529" w:rsidRPr="00DB7656" w:rsidRDefault="00DB7656" w:rsidP="00DB7656">
      <w:pPr>
        <w:rPr>
          <w:b/>
          <w:bCs/>
          <w:szCs w:val="24"/>
        </w:rPr>
      </w:pPr>
      <w:r w:rsidRPr="00DB7656">
        <w:rPr>
          <w:b/>
          <w:bCs/>
          <w:szCs w:val="24"/>
        </w:rPr>
        <w:t>ANEXO: INTERPRETAR LOS TEXTOS DE ELENA G. WHITE</w:t>
      </w:r>
    </w:p>
    <w:p w14:paraId="46DDE93F" w14:textId="4BD6DC3B" w:rsidR="00DB7656" w:rsidRDefault="00DB7656" w:rsidP="00DB7656">
      <w:pPr>
        <w:rPr>
          <w:szCs w:val="24"/>
        </w:rPr>
      </w:pPr>
      <w:r w:rsidRPr="00DB7656">
        <w:rPr>
          <w:szCs w:val="24"/>
        </w:rPr>
        <w:t>Al estudiar los escritos de Elena G. White debemos seguir las mismas pautas que al estudiar los textos bíblicos.</w:t>
      </w:r>
    </w:p>
    <w:p w14:paraId="41C50888" w14:textId="50D7BEB8" w:rsidR="00DB7656" w:rsidRDefault="00DB7656" w:rsidP="00DB7656">
      <w:pPr>
        <w:rPr>
          <w:szCs w:val="24"/>
        </w:rPr>
      </w:pPr>
      <w:r w:rsidRPr="00DB7656">
        <w:rPr>
          <w:szCs w:val="24"/>
        </w:rPr>
        <w:t>Declaraciones como “Habrá que dar cuenta del dinero invertido en bicicletas” (TM 398), deben entenderse en el contexto histórico (el precio de una bicicleta en 1890 equivalía a varios meses de sueldo).</w:t>
      </w:r>
    </w:p>
    <w:p w14:paraId="0486B3DD" w14:textId="2D49FD9E" w:rsidR="00DB7656" w:rsidRDefault="00DB7656" w:rsidP="00DB7656">
      <w:pPr>
        <w:rPr>
          <w:szCs w:val="24"/>
        </w:rPr>
      </w:pPr>
      <w:r w:rsidRPr="00DB7656">
        <w:rPr>
          <w:szCs w:val="24"/>
        </w:rPr>
        <w:t>Usar párrafos aislados fuera de su contexto literario hace decir a Elena lo que ella nunca quiso decir, o defender un punto doctrinal contrario a lo que ella creyó y enseñó.</w:t>
      </w:r>
    </w:p>
    <w:p w14:paraId="2BB9BEDB" w14:textId="4C2677BB" w:rsidR="00DB7656" w:rsidRDefault="00DB7656" w:rsidP="00DB7656">
      <w:pPr>
        <w:rPr>
          <w:szCs w:val="24"/>
        </w:rPr>
      </w:pPr>
      <w:r w:rsidRPr="00DB7656">
        <w:rPr>
          <w:szCs w:val="24"/>
        </w:rPr>
        <w:t>Antes de llegar a una conclusión, debemos estudiar todo lo que ella enseñó sobre un tema concreto, y no solo basándonos en unas pocas citas.</w:t>
      </w:r>
    </w:p>
    <w:p w14:paraId="3DA58BF9" w14:textId="65C12A61" w:rsidR="00DB7656" w:rsidRPr="00D55529" w:rsidRDefault="00DB7656" w:rsidP="00DB7656">
      <w:pPr>
        <w:rPr>
          <w:szCs w:val="24"/>
        </w:rPr>
      </w:pPr>
      <w:r w:rsidRPr="00DB7656">
        <w:rPr>
          <w:szCs w:val="24"/>
        </w:rPr>
        <w:t xml:space="preserve">Por otro lado, debemos preguntarnos: ¿de verdad escribió ella lo que me están diciendo? Comprueba siempre que la cita es real y exacta (usa la página oficial </w:t>
      </w:r>
      <w:hyperlink r:id="rId5" w:history="1">
        <w:r w:rsidRPr="00E11497">
          <w:rPr>
            <w:rStyle w:val="Hipervnculo"/>
            <w:szCs w:val="24"/>
          </w:rPr>
          <w:t>https://egwwritings.org/</w:t>
        </w:r>
      </w:hyperlink>
      <w:r w:rsidRPr="00DB7656">
        <w:rPr>
          <w:szCs w:val="24"/>
        </w:rPr>
        <w:t>).</w:t>
      </w:r>
    </w:p>
    <w:sectPr w:rsidR="00DB7656" w:rsidRPr="00D55529"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4627A"/>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2219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6A1"/>
    <w:rsid w:val="00004746"/>
    <w:rsid w:val="000B2AC6"/>
    <w:rsid w:val="000B440E"/>
    <w:rsid w:val="001E4AA8"/>
    <w:rsid w:val="003036B8"/>
    <w:rsid w:val="00395C43"/>
    <w:rsid w:val="003D5E96"/>
    <w:rsid w:val="004819DE"/>
    <w:rsid w:val="004D5CB2"/>
    <w:rsid w:val="00582626"/>
    <w:rsid w:val="00666E70"/>
    <w:rsid w:val="006B286A"/>
    <w:rsid w:val="00711123"/>
    <w:rsid w:val="007366A1"/>
    <w:rsid w:val="007770EC"/>
    <w:rsid w:val="00805332"/>
    <w:rsid w:val="00844491"/>
    <w:rsid w:val="00AB406A"/>
    <w:rsid w:val="00BA3EAE"/>
    <w:rsid w:val="00C22FAD"/>
    <w:rsid w:val="00C46A68"/>
    <w:rsid w:val="00C85F49"/>
    <w:rsid w:val="00D55529"/>
    <w:rsid w:val="00D86C9B"/>
    <w:rsid w:val="00DB765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FC89"/>
  <w15:chartTrackingRefBased/>
  <w15:docId w15:val="{3025952F-7DAD-4B91-B7EC-3650FB51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736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6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66A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66A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66A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66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66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66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66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7366A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7366A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7366A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7366A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7366A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7366A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7366A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7366A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7366A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736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66A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7366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66A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7366A1"/>
    <w:pPr>
      <w:spacing w:before="160"/>
      <w:jc w:val="center"/>
    </w:pPr>
    <w:rPr>
      <w:i/>
      <w:iCs/>
      <w:color w:val="404040" w:themeColor="text1" w:themeTint="BF"/>
    </w:rPr>
  </w:style>
  <w:style w:type="character" w:customStyle="1" w:styleId="CitaCar">
    <w:name w:val="Cita Car"/>
    <w:basedOn w:val="Fuentedeprrafopredeter"/>
    <w:link w:val="Cita"/>
    <w:uiPriority w:val="29"/>
    <w:rsid w:val="007366A1"/>
    <w:rPr>
      <w:i/>
      <w:iCs/>
      <w:color w:val="404040" w:themeColor="text1" w:themeTint="BF"/>
      <w:kern w:val="0"/>
      <w:sz w:val="24"/>
      <w14:ligatures w14:val="none"/>
    </w:rPr>
  </w:style>
  <w:style w:type="paragraph" w:styleId="Prrafodelista">
    <w:name w:val="List Paragraph"/>
    <w:basedOn w:val="Normal"/>
    <w:uiPriority w:val="34"/>
    <w:qFormat/>
    <w:rsid w:val="007366A1"/>
    <w:pPr>
      <w:ind w:left="720"/>
      <w:contextualSpacing/>
    </w:pPr>
  </w:style>
  <w:style w:type="character" w:styleId="nfasisintenso">
    <w:name w:val="Intense Emphasis"/>
    <w:basedOn w:val="Fuentedeprrafopredeter"/>
    <w:uiPriority w:val="21"/>
    <w:qFormat/>
    <w:rsid w:val="007366A1"/>
    <w:rPr>
      <w:i/>
      <w:iCs/>
      <w:color w:val="0F4761" w:themeColor="accent1" w:themeShade="BF"/>
    </w:rPr>
  </w:style>
  <w:style w:type="paragraph" w:styleId="Citadestacada">
    <w:name w:val="Intense Quote"/>
    <w:basedOn w:val="Normal"/>
    <w:next w:val="Normal"/>
    <w:link w:val="CitadestacadaCar"/>
    <w:uiPriority w:val="30"/>
    <w:qFormat/>
    <w:rsid w:val="00736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66A1"/>
    <w:rPr>
      <w:i/>
      <w:iCs/>
      <w:color w:val="0F4761" w:themeColor="accent1" w:themeShade="BF"/>
      <w:kern w:val="0"/>
      <w:sz w:val="24"/>
      <w14:ligatures w14:val="none"/>
    </w:rPr>
  </w:style>
  <w:style w:type="character" w:styleId="Referenciaintensa">
    <w:name w:val="Intense Reference"/>
    <w:basedOn w:val="Fuentedeprrafopredeter"/>
    <w:uiPriority w:val="32"/>
    <w:qFormat/>
    <w:rsid w:val="007366A1"/>
    <w:rPr>
      <w:b/>
      <w:bCs/>
      <w:smallCaps/>
      <w:color w:val="0F4761" w:themeColor="accent1" w:themeShade="BF"/>
      <w:spacing w:val="5"/>
    </w:rPr>
  </w:style>
  <w:style w:type="character" w:styleId="Hipervnculo">
    <w:name w:val="Hyperlink"/>
    <w:basedOn w:val="Fuentedeprrafopredeter"/>
    <w:uiPriority w:val="99"/>
    <w:unhideWhenUsed/>
    <w:rsid w:val="00DB7656"/>
    <w:rPr>
      <w:color w:val="467886" w:themeColor="hyperlink"/>
      <w:u w:val="single"/>
    </w:rPr>
  </w:style>
  <w:style w:type="character" w:styleId="Mencinsinresolver">
    <w:name w:val="Unresolved Mention"/>
    <w:basedOn w:val="Fuentedeprrafopredeter"/>
    <w:uiPriority w:val="99"/>
    <w:semiHidden/>
    <w:unhideWhenUsed/>
    <w:rsid w:val="00DB7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gwwritings.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883</Words>
  <Characters>4861</Characters>
  <Application>Microsoft Office Word</Application>
  <DocSecurity>0</DocSecurity>
  <Lines>40</Lines>
  <Paragraphs>11</Paragraphs>
  <ScaleCrop>false</ScaleCrop>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10</cp:revision>
  <dcterms:created xsi:type="dcterms:W3CDTF">2026-11-01T09:41:00Z</dcterms:created>
  <dcterms:modified xsi:type="dcterms:W3CDTF">2026-11-01T10:10:00Z</dcterms:modified>
</cp:coreProperties>
</file>